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permStart w:id="1083533296" w:edGrp="everyone"/>
      <w:permEnd w:id="1083533296"/>
      <w:r w:rsidRPr="00674CC3">
        <w:rPr>
          <w:b/>
          <w:bCs/>
          <w:i/>
          <w:sz w:val="28"/>
          <w:szCs w:val="28"/>
        </w:rPr>
        <w:t>Spojená škola intern</w:t>
      </w:r>
      <w:r w:rsidR="00730654">
        <w:rPr>
          <w:b/>
          <w:bCs/>
          <w:i/>
          <w:sz w:val="28"/>
          <w:szCs w:val="28"/>
        </w:rPr>
        <w:t xml:space="preserve">átna, Fatranská 3321/22, </w:t>
      </w:r>
      <w:r w:rsidRPr="00674CC3">
        <w:rPr>
          <w:b/>
          <w:bCs/>
          <w:i/>
          <w:sz w:val="28"/>
          <w:szCs w:val="28"/>
        </w:rPr>
        <w:t>Žilina</w:t>
      </w: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</w:p>
    <w:p w:rsidR="009F5699" w:rsidRPr="00674CC3" w:rsidRDefault="009F5699" w:rsidP="009F5699">
      <w:pPr>
        <w:tabs>
          <w:tab w:val="left" w:pos="0"/>
          <w:tab w:val="left" w:pos="30"/>
        </w:tabs>
        <w:jc w:val="center"/>
        <w:rPr>
          <w:b/>
          <w:bCs/>
          <w:sz w:val="36"/>
          <w:szCs w:val="36"/>
          <w:u w:val="single"/>
        </w:rPr>
      </w:pPr>
      <w:r w:rsidRPr="00674CC3">
        <w:rPr>
          <w:b/>
          <w:bCs/>
          <w:sz w:val="36"/>
          <w:szCs w:val="36"/>
          <w:u w:val="single"/>
        </w:rPr>
        <w:t>Súhrnná s</w:t>
      </w:r>
      <w:r>
        <w:rPr>
          <w:b/>
          <w:bCs/>
          <w:sz w:val="36"/>
          <w:szCs w:val="36"/>
          <w:u w:val="single"/>
        </w:rPr>
        <w:t>práva o hospodárení za rok 2023</w:t>
      </w:r>
    </w:p>
    <w:p w:rsidR="009F5699" w:rsidRPr="00674CC3" w:rsidRDefault="009F5699" w:rsidP="009F5699">
      <w:pPr>
        <w:rPr>
          <w:sz w:val="28"/>
          <w:szCs w:val="28"/>
        </w:rPr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</w:pPr>
    </w:p>
    <w:p w:rsidR="009F5699" w:rsidRPr="00674CC3" w:rsidRDefault="009F5699" w:rsidP="009F5699">
      <w:pPr>
        <w:jc w:val="both"/>
        <w:rPr>
          <w:b/>
        </w:rPr>
      </w:pPr>
      <w:r w:rsidRPr="00674CC3">
        <w:tab/>
      </w:r>
      <w:r w:rsidRPr="00674CC3">
        <w:tab/>
      </w:r>
      <w:r w:rsidRPr="00674CC3">
        <w:tab/>
      </w:r>
      <w:r w:rsidRPr="00674CC3">
        <w:tab/>
      </w:r>
      <w:r w:rsidRPr="00674CC3">
        <w:tab/>
      </w:r>
      <w:r>
        <w:rPr>
          <w:b/>
        </w:rPr>
        <w:t>Spracované: 3/2024</w:t>
      </w:r>
    </w:p>
    <w:p w:rsidR="009244E1" w:rsidRDefault="009244E1">
      <w:pPr>
        <w:suppressAutoHyphens w:val="0"/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9F5699" w:rsidRPr="00C921BF" w:rsidRDefault="009244E1" w:rsidP="00114699">
      <w:pPr>
        <w:tabs>
          <w:tab w:val="left" w:pos="0"/>
          <w:tab w:val="left" w:pos="3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Rozbor</w:t>
      </w:r>
      <w:r w:rsidR="009F5699" w:rsidRPr="00C921BF">
        <w:rPr>
          <w:b/>
          <w:bCs/>
          <w:sz w:val="28"/>
          <w:szCs w:val="28"/>
          <w:u w:val="single"/>
        </w:rPr>
        <w:t xml:space="preserve"> k súhrnnej </w:t>
      </w:r>
      <w:r w:rsidR="009F5699">
        <w:rPr>
          <w:b/>
          <w:bCs/>
          <w:sz w:val="28"/>
          <w:szCs w:val="28"/>
          <w:u w:val="single"/>
        </w:rPr>
        <w:t>správe o hospodárení za rok 2023</w:t>
      </w:r>
    </w:p>
    <w:p w:rsidR="009F5699" w:rsidRPr="00C921BF" w:rsidRDefault="009F5699" w:rsidP="009F5699">
      <w:pPr>
        <w:rPr>
          <w:sz w:val="28"/>
          <w:szCs w:val="28"/>
        </w:rPr>
      </w:pPr>
    </w:p>
    <w:p w:rsidR="009F5699" w:rsidRPr="00114699" w:rsidRDefault="009F5699" w:rsidP="009F5699">
      <w:pPr>
        <w:jc w:val="both"/>
      </w:pPr>
      <w:r w:rsidRPr="00833775">
        <w:t>Spojená škola internátna („ďalej len SŠI“) je príspevkovou organizáciou s prá</w:t>
      </w:r>
      <w:r>
        <w:t>vnou subjektivitou.  V roku 2023</w:t>
      </w:r>
      <w:r w:rsidRPr="00833775">
        <w:t xml:space="preserve"> zabezpečovala o</w:t>
      </w:r>
      <w:r>
        <w:t xml:space="preserve">dborné vyučovanie pre </w:t>
      </w:r>
      <w:r w:rsidRPr="00114699">
        <w:t xml:space="preserve">117 žiakov. </w:t>
      </w:r>
    </w:p>
    <w:p w:rsidR="009F5699" w:rsidRPr="00114699" w:rsidRDefault="009F5699" w:rsidP="009F5699">
      <w:pPr>
        <w:rPr>
          <w:sz w:val="16"/>
          <w:szCs w:val="16"/>
        </w:rPr>
      </w:pPr>
    </w:p>
    <w:p w:rsidR="00114699" w:rsidRDefault="009F5699" w:rsidP="009F5699">
      <w:pPr>
        <w:rPr>
          <w:b/>
        </w:rPr>
      </w:pPr>
      <w:r w:rsidRPr="00114699">
        <w:rPr>
          <w:sz w:val="16"/>
          <w:szCs w:val="16"/>
        </w:rPr>
        <w:t>(Zdroj:</w:t>
      </w:r>
      <w:r w:rsidR="00114699">
        <w:rPr>
          <w:sz w:val="16"/>
          <w:szCs w:val="16"/>
        </w:rPr>
        <w:t xml:space="preserve"> </w:t>
      </w:r>
      <w:r w:rsidRPr="00114699">
        <w:rPr>
          <w:sz w:val="16"/>
          <w:szCs w:val="16"/>
        </w:rPr>
        <w:t>Eduzber</w:t>
      </w:r>
      <w:r w:rsidR="00114699">
        <w:rPr>
          <w:sz w:val="16"/>
          <w:szCs w:val="16"/>
        </w:rPr>
        <w:t xml:space="preserve"> </w:t>
      </w:r>
      <w:r w:rsidRPr="00114699">
        <w:rPr>
          <w:sz w:val="16"/>
          <w:szCs w:val="16"/>
        </w:rPr>
        <w:t>2023)</w:t>
      </w:r>
      <w:r w:rsidR="00114699">
        <w:t xml:space="preserve"> </w:t>
      </w:r>
      <w:r w:rsidR="00114699">
        <w:br/>
      </w:r>
    </w:p>
    <w:p w:rsidR="00114699" w:rsidRPr="00114699" w:rsidRDefault="00114699" w:rsidP="009F5699">
      <w:pPr>
        <w:rPr>
          <w:b/>
          <w:u w:val="single"/>
        </w:rPr>
      </w:pPr>
      <w:r>
        <w:rPr>
          <w:b/>
          <w:u w:val="single"/>
        </w:rPr>
        <w:t xml:space="preserve">Počty prijatých žiakov v školskom roku 2023/2024 </w:t>
      </w:r>
    </w:p>
    <w:p w:rsidR="00114699" w:rsidRDefault="00114699" w:rsidP="009F5699">
      <w:pPr>
        <w:rPr>
          <w:b/>
        </w:rPr>
      </w:pPr>
    </w:p>
    <w:p w:rsidR="009F5699" w:rsidRPr="00114699" w:rsidRDefault="009F5699" w:rsidP="009F5699">
      <w:pPr>
        <w:rPr>
          <w:b/>
        </w:rPr>
      </w:pPr>
      <w:r w:rsidRPr="00114699">
        <w:rPr>
          <w:b/>
        </w:rPr>
        <w:t>Na úrovni SOŠ ŽTP to boli učebné odbory pre 21 žiakov v týchto učebných odboroch:</w:t>
      </w:r>
    </w:p>
    <w:p w:rsidR="009F5699" w:rsidRPr="00114699" w:rsidRDefault="009F5699" w:rsidP="009F5699"/>
    <w:p w:rsidR="009F5699" w:rsidRPr="00114699" w:rsidRDefault="00114699" w:rsidP="009F5699">
      <w:pPr>
        <w:pStyle w:val="Odsekzoznamu"/>
        <w:numPr>
          <w:ilvl w:val="0"/>
          <w:numId w:val="7"/>
        </w:numPr>
      </w:pPr>
      <w:r w:rsidRPr="00114699">
        <w:t>fotograf: 15</w:t>
      </w:r>
      <w:r w:rsidR="009F5699" w:rsidRPr="00114699">
        <w:t xml:space="preserve"> žiakov, </w:t>
      </w:r>
    </w:p>
    <w:p w:rsidR="009F5699" w:rsidRPr="00114699" w:rsidRDefault="00114699" w:rsidP="009F5699">
      <w:pPr>
        <w:pStyle w:val="Odsekzoznamu"/>
        <w:numPr>
          <w:ilvl w:val="0"/>
          <w:numId w:val="7"/>
        </w:numPr>
      </w:pPr>
      <w:r w:rsidRPr="00114699">
        <w:t>aranžér:  11</w:t>
      </w:r>
      <w:r w:rsidR="009F5699" w:rsidRPr="00114699">
        <w:t xml:space="preserve"> žiakov. </w:t>
      </w:r>
    </w:p>
    <w:p w:rsidR="009F5699" w:rsidRPr="00114699" w:rsidRDefault="009F5699" w:rsidP="009F5699"/>
    <w:p w:rsidR="009F5699" w:rsidRPr="00114699" w:rsidRDefault="009F5699" w:rsidP="009F5699">
      <w:pPr>
        <w:rPr>
          <w:b/>
        </w:rPr>
      </w:pPr>
      <w:r w:rsidRPr="00114699">
        <w:rPr>
          <w:b/>
        </w:rPr>
        <w:t>Na úrovni</w:t>
      </w:r>
      <w:r w:rsidR="00114699" w:rsidRPr="00114699">
        <w:rPr>
          <w:b/>
        </w:rPr>
        <w:t xml:space="preserve"> OU to boli učebné odbory pre 67</w:t>
      </w:r>
      <w:r w:rsidRPr="00114699">
        <w:rPr>
          <w:b/>
        </w:rPr>
        <w:t xml:space="preserve"> žiakov v týchto učebných odboroch: </w:t>
      </w:r>
    </w:p>
    <w:p w:rsidR="009F5699" w:rsidRPr="00114699" w:rsidRDefault="009F5699" w:rsidP="009F5699">
      <w:pPr>
        <w:rPr>
          <w:b/>
        </w:rPr>
      </w:pPr>
    </w:p>
    <w:p w:rsidR="009F5699" w:rsidRPr="00114699" w:rsidRDefault="00114699" w:rsidP="009F5699">
      <w:pPr>
        <w:pStyle w:val="Odsekzoznamu"/>
        <w:numPr>
          <w:ilvl w:val="0"/>
          <w:numId w:val="8"/>
        </w:numPr>
      </w:pPr>
      <w:r w:rsidRPr="00114699">
        <w:t>cukrárska výroba:  24</w:t>
      </w:r>
      <w:r w:rsidR="009F5699" w:rsidRPr="00114699">
        <w:t xml:space="preserve"> žiakov, </w:t>
      </w:r>
    </w:p>
    <w:p w:rsidR="009F5699" w:rsidRPr="00114699" w:rsidRDefault="009F5699" w:rsidP="009F5699">
      <w:pPr>
        <w:pStyle w:val="Odsekzoznamu"/>
        <w:numPr>
          <w:ilvl w:val="0"/>
          <w:numId w:val="8"/>
        </w:numPr>
      </w:pPr>
      <w:r w:rsidRPr="00114699">
        <w:t>opatrovateľská starostlivosť v zariadeni</w:t>
      </w:r>
      <w:r w:rsidR="00114699" w:rsidRPr="00114699">
        <w:t>ach sociálnej starostlivosti: 14</w:t>
      </w:r>
      <w:r w:rsidRPr="00114699">
        <w:t xml:space="preserve"> žiakov,</w:t>
      </w:r>
    </w:p>
    <w:p w:rsidR="009F5699" w:rsidRPr="00114699" w:rsidRDefault="009F5699" w:rsidP="009F5699">
      <w:pPr>
        <w:pStyle w:val="Odsekzoznamu"/>
        <w:numPr>
          <w:ilvl w:val="0"/>
          <w:numId w:val="8"/>
        </w:numPr>
      </w:pPr>
      <w:r w:rsidRPr="00114699">
        <w:t xml:space="preserve">obchodná prevádzka –príprava, skladovanie </w:t>
      </w:r>
      <w:r w:rsidR="00114699" w:rsidRPr="00114699">
        <w:t>a predaj tovaru:  6</w:t>
      </w:r>
      <w:r w:rsidRPr="00114699">
        <w:t xml:space="preserve">  žiakov, </w:t>
      </w:r>
    </w:p>
    <w:p w:rsidR="009F5699" w:rsidRPr="00114699" w:rsidRDefault="009F5699" w:rsidP="009F5699">
      <w:pPr>
        <w:pStyle w:val="Odsekzoznamu"/>
        <w:numPr>
          <w:ilvl w:val="0"/>
          <w:numId w:val="8"/>
        </w:numPr>
      </w:pPr>
      <w:r w:rsidRPr="00114699">
        <w:t>inštal</w:t>
      </w:r>
      <w:r w:rsidR="00114699" w:rsidRPr="00114699">
        <w:t>atér – vodovodné zariadenia:  10</w:t>
      </w:r>
      <w:r w:rsidRPr="00114699">
        <w:t xml:space="preserve">  žiakov, </w:t>
      </w:r>
    </w:p>
    <w:p w:rsidR="009F5699" w:rsidRPr="00114699" w:rsidRDefault="009F5699" w:rsidP="009F5699">
      <w:pPr>
        <w:pStyle w:val="Odsekzoznamu"/>
        <w:numPr>
          <w:ilvl w:val="0"/>
          <w:numId w:val="8"/>
        </w:numPr>
      </w:pPr>
      <w:r w:rsidRPr="00114699">
        <w:t>textilná vý</w:t>
      </w:r>
      <w:r w:rsidR="00114699" w:rsidRPr="00114699">
        <w:t>roba – ľudovoumelecká tvorba:  8</w:t>
      </w:r>
      <w:r w:rsidRPr="00114699">
        <w:t xml:space="preserve"> žiakov, </w:t>
      </w:r>
    </w:p>
    <w:p w:rsidR="009F5699" w:rsidRPr="00114699" w:rsidRDefault="009F5699" w:rsidP="009F5699">
      <w:pPr>
        <w:pStyle w:val="Odsekzoznamu"/>
        <w:numPr>
          <w:ilvl w:val="0"/>
          <w:numId w:val="8"/>
        </w:numPr>
      </w:pPr>
      <w:r w:rsidRPr="00114699">
        <w:t xml:space="preserve">poľnohospodárska výroba – záhradníctvo </w:t>
      </w:r>
      <w:r w:rsidR="00114699" w:rsidRPr="00114699">
        <w:t>– kvetinár, zelinár, sadovník: 5</w:t>
      </w:r>
      <w:r w:rsidRPr="00114699">
        <w:t xml:space="preserve"> žiakov.</w:t>
      </w:r>
    </w:p>
    <w:p w:rsidR="009F5699" w:rsidRPr="00114699" w:rsidRDefault="009F5699" w:rsidP="009F5699"/>
    <w:p w:rsidR="009F5699" w:rsidRDefault="009F5699" w:rsidP="009F5699">
      <w:r w:rsidRPr="00114699">
        <w:rPr>
          <w:b/>
        </w:rPr>
        <w:t>Na úrov</w:t>
      </w:r>
      <w:r w:rsidR="00114699" w:rsidRPr="00114699">
        <w:rPr>
          <w:b/>
        </w:rPr>
        <w:t>ni PŠ to bol učebný odbor pre 24</w:t>
      </w:r>
      <w:r w:rsidRPr="00114699">
        <w:rPr>
          <w:b/>
        </w:rPr>
        <w:t xml:space="preserve"> žiakov.</w:t>
      </w:r>
      <w:r w:rsidR="00114699">
        <w:rPr>
          <w:b/>
        </w:rPr>
        <w:t xml:space="preserve"> </w:t>
      </w:r>
      <w:r w:rsidR="00114699" w:rsidRPr="00114699">
        <w:t>Oproti minulému roku 2022 sme zaznamenali nárast o 7 žiakov.</w:t>
      </w:r>
    </w:p>
    <w:p w:rsidR="00114699" w:rsidRDefault="00114699" w:rsidP="009F5699"/>
    <w:p w:rsidR="00114699" w:rsidRPr="00114699" w:rsidRDefault="00114699" w:rsidP="009F5699">
      <w:pPr>
        <w:rPr>
          <w:b/>
        </w:rPr>
      </w:pPr>
      <w:r w:rsidRPr="00114699">
        <w:rPr>
          <w:b/>
        </w:rPr>
        <w:t>Graf č. 1 – Grafické znázornenie počtu žiakov v jednotlivých zložkách školy:</w:t>
      </w:r>
    </w:p>
    <w:p w:rsidR="009F5699" w:rsidRPr="00833775" w:rsidRDefault="009F5699" w:rsidP="009F5699"/>
    <w:p w:rsidR="009F5699" w:rsidRDefault="00114699" w:rsidP="00114699">
      <w:pPr>
        <w:ind w:left="-17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1270</wp:posOffset>
            </wp:positionV>
            <wp:extent cx="3810000" cy="2019300"/>
            <wp:effectExtent l="0" t="0" r="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14699" w:rsidRDefault="00114699" w:rsidP="00114699">
      <w:pPr>
        <w:ind w:left="-17"/>
        <w:jc w:val="center"/>
      </w:pPr>
    </w:p>
    <w:p w:rsidR="009F5699" w:rsidRDefault="009F5699" w:rsidP="009F5699">
      <w:pPr>
        <w:ind w:left="-17"/>
        <w:jc w:val="both"/>
      </w:pPr>
    </w:p>
    <w:p w:rsidR="009F5699" w:rsidRDefault="009F5699" w:rsidP="009F5699">
      <w:pPr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114699" w:rsidRDefault="00114699" w:rsidP="009F5699">
      <w:pPr>
        <w:ind w:left="-17"/>
        <w:jc w:val="both"/>
      </w:pPr>
    </w:p>
    <w:p w:rsidR="009F5699" w:rsidRDefault="001375FD" w:rsidP="009F5699">
      <w:pPr>
        <w:ind w:left="-17"/>
        <w:jc w:val="both"/>
      </w:pPr>
      <w:r>
        <w:t xml:space="preserve">Súčasťou školy je školský internát a elokované pracovisko – Jarná 34, Žilina. Začiatkom </w:t>
      </w:r>
      <w:r w:rsidR="009244E1">
        <w:t xml:space="preserve">septembra 2023 bolo poskytované </w:t>
      </w:r>
      <w:r w:rsidRPr="009244E1">
        <w:t xml:space="preserve">ubytovanie </w:t>
      </w:r>
      <w:r w:rsidR="009244E1">
        <w:t>15-tim</w:t>
      </w:r>
      <w:r w:rsidRPr="009244E1">
        <w:t xml:space="preserve"> žiakom</w:t>
      </w:r>
      <w:r w:rsidR="009244E1">
        <w:t xml:space="preserve"> našej školy</w:t>
      </w:r>
      <w:r w:rsidRPr="009244E1">
        <w:t>.</w:t>
      </w:r>
    </w:p>
    <w:p w:rsidR="009F5699" w:rsidRPr="00D96F0A" w:rsidRDefault="009F5699" w:rsidP="009F5699">
      <w:pPr>
        <w:ind w:left="-17"/>
        <w:jc w:val="both"/>
        <w:rPr>
          <w:highlight w:val="yellow"/>
        </w:rPr>
      </w:pPr>
    </w:p>
    <w:p w:rsidR="00114699" w:rsidRPr="00114699" w:rsidRDefault="00114699" w:rsidP="001375FD">
      <w:pPr>
        <w:tabs>
          <w:tab w:val="left" w:pos="-1140"/>
        </w:tabs>
        <w:ind w:left="-60" w:firstLine="15"/>
        <w:jc w:val="both"/>
        <w:rPr>
          <w:b/>
          <w:u w:val="single"/>
        </w:rPr>
      </w:pPr>
      <w:r w:rsidRPr="00114699">
        <w:rPr>
          <w:b/>
          <w:u w:val="single"/>
        </w:rPr>
        <w:t>Zamestnanci školy</w:t>
      </w:r>
    </w:p>
    <w:p w:rsidR="00114699" w:rsidRDefault="00114699" w:rsidP="001375FD">
      <w:pPr>
        <w:tabs>
          <w:tab w:val="left" w:pos="-1140"/>
        </w:tabs>
        <w:ind w:left="-60" w:firstLine="15"/>
        <w:jc w:val="both"/>
      </w:pPr>
    </w:p>
    <w:p w:rsidR="00114699" w:rsidRDefault="009F5699" w:rsidP="001375FD">
      <w:pPr>
        <w:tabs>
          <w:tab w:val="left" w:pos="-1140"/>
        </w:tabs>
        <w:ind w:left="-60" w:firstLine="15"/>
        <w:jc w:val="both"/>
      </w:pPr>
      <w:r>
        <w:t xml:space="preserve">Počet aktívnych </w:t>
      </w:r>
      <w:r w:rsidRPr="00833775">
        <w:t>zamestnancov</w:t>
      </w:r>
      <w:r>
        <w:t xml:space="preserve"> bez RD</w:t>
      </w:r>
      <w:r w:rsidR="001375FD">
        <w:t xml:space="preserve"> predstavoval k 31.12.2023</w:t>
      </w:r>
      <w:r w:rsidR="00114699">
        <w:t xml:space="preserve"> celkom</w:t>
      </w:r>
      <w:r w:rsidRPr="00833775">
        <w:t xml:space="preserve"> 37 fyzických</w:t>
      </w:r>
      <w:r>
        <w:t xml:space="preserve"> osôb </w:t>
      </w:r>
      <w:r w:rsidRPr="00833775">
        <w:t>(prepoč. p. 35,3). Jedna</w:t>
      </w:r>
      <w:r w:rsidR="00114699">
        <w:t xml:space="preserve"> zamestnankyňa je</w:t>
      </w:r>
      <w:r w:rsidRPr="00833775">
        <w:t xml:space="preserve"> evidovaná na </w:t>
      </w:r>
      <w:r w:rsidRPr="00114699">
        <w:t>RD. Pedagogických zamestnancov bolo v evidencii 29</w:t>
      </w:r>
      <w:r w:rsidR="00AB1A60">
        <w:t>, (prepoč. 28,2)</w:t>
      </w:r>
      <w:r w:rsidRPr="00114699">
        <w:t>, z toho 1 pedagogický asistent</w:t>
      </w:r>
      <w:r w:rsidR="001375FD" w:rsidRPr="00114699">
        <w:t xml:space="preserve"> k 31.12.2023</w:t>
      </w:r>
      <w:r w:rsidRPr="00114699">
        <w:t>.</w:t>
      </w:r>
      <w:r>
        <w:t xml:space="preserve"> </w:t>
      </w:r>
    </w:p>
    <w:p w:rsidR="006C0297" w:rsidRDefault="006C0297" w:rsidP="001375FD">
      <w:pPr>
        <w:tabs>
          <w:tab w:val="left" w:pos="-1140"/>
        </w:tabs>
        <w:ind w:left="-60" w:firstLine="15"/>
        <w:jc w:val="both"/>
      </w:pPr>
    </w:p>
    <w:p w:rsidR="009244E1" w:rsidRDefault="009244E1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C0297" w:rsidRDefault="006C0297" w:rsidP="001375FD">
      <w:pPr>
        <w:tabs>
          <w:tab w:val="left" w:pos="-1140"/>
        </w:tabs>
        <w:ind w:left="-60" w:firstLine="15"/>
        <w:jc w:val="both"/>
        <w:rPr>
          <w:b/>
        </w:rPr>
      </w:pPr>
      <w:r w:rsidRPr="006C0297">
        <w:rPr>
          <w:b/>
        </w:rPr>
        <w:lastRenderedPageBreak/>
        <w:t xml:space="preserve">Graf č. 2: Grafické znázornenie </w:t>
      </w:r>
      <w:r w:rsidR="002B4446">
        <w:rPr>
          <w:b/>
        </w:rPr>
        <w:t xml:space="preserve">pedagogických </w:t>
      </w:r>
      <w:r w:rsidRPr="006C0297">
        <w:rPr>
          <w:b/>
        </w:rPr>
        <w:t>zamestnancov podľa pracovnej pozície</w:t>
      </w:r>
    </w:p>
    <w:p w:rsidR="002B4446" w:rsidRPr="006C0297" w:rsidRDefault="002B4446" w:rsidP="001375FD">
      <w:pPr>
        <w:tabs>
          <w:tab w:val="left" w:pos="-1140"/>
        </w:tabs>
        <w:ind w:left="-60" w:firstLine="15"/>
        <w:jc w:val="both"/>
        <w:rPr>
          <w:b/>
        </w:rPr>
      </w:pPr>
    </w:p>
    <w:p w:rsidR="006C0297" w:rsidRDefault="002B4446" w:rsidP="002B4446">
      <w:pPr>
        <w:suppressAutoHyphens w:val="0"/>
        <w:spacing w:after="160" w:line="259" w:lineRule="auto"/>
        <w:jc w:val="center"/>
      </w:pPr>
      <w:r>
        <w:rPr>
          <w:noProof/>
          <w:lang w:eastAsia="sk-SK"/>
        </w:rPr>
        <w:drawing>
          <wp:inline distT="0" distB="0" distL="0" distR="0" wp14:anchorId="6A2DAFA4" wp14:editId="75B81B9D">
            <wp:extent cx="4251960" cy="2065020"/>
            <wp:effectExtent l="0" t="0" r="15240" b="1143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4446" w:rsidRDefault="002B4446" w:rsidP="002B4446">
      <w:pPr>
        <w:tabs>
          <w:tab w:val="left" w:pos="-1140"/>
        </w:tabs>
        <w:ind w:left="-60" w:firstLine="15"/>
        <w:jc w:val="both"/>
        <w:rPr>
          <w:b/>
        </w:rPr>
      </w:pPr>
      <w:r>
        <w:rPr>
          <w:b/>
        </w:rPr>
        <w:t>Graf č. 3</w:t>
      </w:r>
      <w:r w:rsidRPr="006C0297">
        <w:rPr>
          <w:b/>
        </w:rPr>
        <w:t xml:space="preserve">: Grafické znázornenie </w:t>
      </w:r>
      <w:r w:rsidR="009B6496">
        <w:rPr>
          <w:b/>
        </w:rPr>
        <w:t>ne</w:t>
      </w:r>
      <w:r>
        <w:rPr>
          <w:b/>
        </w:rPr>
        <w:t xml:space="preserve">pedagogických </w:t>
      </w:r>
      <w:r w:rsidRPr="006C0297">
        <w:rPr>
          <w:b/>
        </w:rPr>
        <w:t>zamestnancov podľa pracovnej pozície</w:t>
      </w:r>
    </w:p>
    <w:p w:rsidR="009B6496" w:rsidRDefault="009B6496">
      <w:pPr>
        <w:suppressAutoHyphens w:val="0"/>
        <w:spacing w:after="160" w:line="259" w:lineRule="auto"/>
      </w:pPr>
    </w:p>
    <w:p w:rsidR="00AB1A60" w:rsidRDefault="00AB1A60" w:rsidP="009B6496">
      <w:pPr>
        <w:suppressAutoHyphens w:val="0"/>
        <w:spacing w:after="160" w:line="259" w:lineRule="auto"/>
        <w:jc w:val="center"/>
      </w:pPr>
      <w:r>
        <w:rPr>
          <w:noProof/>
          <w:lang w:eastAsia="sk-SK"/>
        </w:rPr>
        <w:drawing>
          <wp:inline distT="0" distB="0" distL="0" distR="0" wp14:anchorId="11834977" wp14:editId="279A6FDE">
            <wp:extent cx="4328160" cy="2042160"/>
            <wp:effectExtent l="0" t="0" r="15240" b="1524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1A60" w:rsidRDefault="00AB1A60" w:rsidP="009B6496">
      <w:pPr>
        <w:suppressAutoHyphens w:val="0"/>
        <w:spacing w:after="160" w:line="259" w:lineRule="auto"/>
        <w:jc w:val="center"/>
      </w:pPr>
    </w:p>
    <w:p w:rsidR="009B62A2" w:rsidRDefault="00AB1A60" w:rsidP="00AB1A60">
      <w:pPr>
        <w:suppressAutoHyphens w:val="0"/>
        <w:spacing w:after="160" w:line="259" w:lineRule="auto"/>
        <w:rPr>
          <w:b/>
        </w:rPr>
      </w:pPr>
      <w:r w:rsidRPr="00AB1A60">
        <w:rPr>
          <w:b/>
        </w:rPr>
        <w:t>Graf č. 4: Grafické znázornenie vekovej štruktúry zamestnancov školy</w:t>
      </w:r>
    </w:p>
    <w:p w:rsidR="009B62A2" w:rsidRDefault="009B62A2" w:rsidP="00AB1A60">
      <w:pPr>
        <w:suppressAutoHyphens w:val="0"/>
        <w:spacing w:after="160" w:line="259" w:lineRule="auto"/>
        <w:rPr>
          <w:b/>
        </w:rPr>
      </w:pPr>
    </w:p>
    <w:p w:rsidR="009B62A2" w:rsidRDefault="009B62A2" w:rsidP="009B62A2">
      <w:pPr>
        <w:suppressAutoHyphens w:val="0"/>
        <w:spacing w:after="160" w:line="259" w:lineRule="auto"/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 wp14:anchorId="3B1BCEA9" wp14:editId="456D1C62">
            <wp:extent cx="4236720" cy="1905000"/>
            <wp:effectExtent l="0" t="0" r="1143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75FD" w:rsidRPr="00F46865" w:rsidRDefault="009B62A2" w:rsidP="0040070E">
      <w:pPr>
        <w:suppressAutoHyphens w:val="0"/>
        <w:spacing w:after="160" w:line="259" w:lineRule="auto"/>
        <w:rPr>
          <w:b/>
          <w:i/>
        </w:rPr>
      </w:pPr>
      <w:r w:rsidRPr="00F46865">
        <w:rPr>
          <w:b/>
          <w:i/>
        </w:rPr>
        <w:t xml:space="preserve">Priemerný vek v organizácií je k 31.12.2023: </w:t>
      </w:r>
      <w:r w:rsidR="0040070E" w:rsidRPr="00F46865">
        <w:rPr>
          <w:b/>
          <w:i/>
        </w:rPr>
        <w:t>51 rokov.</w:t>
      </w:r>
      <w:r w:rsidR="00114699" w:rsidRPr="00F46865">
        <w:rPr>
          <w:b/>
          <w:i/>
        </w:rPr>
        <w:br w:type="page"/>
      </w:r>
    </w:p>
    <w:tbl>
      <w:tblPr>
        <w:tblpPr w:leftFromText="141" w:rightFromText="141" w:vertAnchor="text" w:horzAnchor="margin" w:tblpY="62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1812"/>
        <w:gridCol w:w="2402"/>
        <w:gridCol w:w="2882"/>
      </w:tblGrid>
      <w:tr w:rsidR="001375FD" w:rsidRPr="001375FD" w:rsidTr="004F3E7F">
        <w:trPr>
          <w:trHeight w:val="369"/>
        </w:trPr>
        <w:tc>
          <w:tcPr>
            <w:tcW w:w="0" w:type="auto"/>
            <w:gridSpan w:val="4"/>
            <w:vAlign w:val="center"/>
          </w:tcPr>
          <w:p w:rsidR="009244E1" w:rsidRDefault="009244E1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:rsidR="009244E1" w:rsidRDefault="009244E1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:rsid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Poskytnuté finančné prostriedky od RÚŠS v sídle kraja </w:t>
            </w:r>
          </w:p>
          <w:p w:rsidR="009244E1" w:rsidRDefault="009244E1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:rsidR="009244E1" w:rsidRPr="001375FD" w:rsidRDefault="009244E1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1375FD" w:rsidRPr="001375FD" w:rsidTr="004F3E7F">
        <w:trPr>
          <w:trHeight w:val="569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75FD">
              <w:rPr>
                <w:rFonts w:ascii="Arial" w:hAnsi="Arial" w:cs="Arial"/>
                <w:b/>
                <w:bCs/>
                <w:sz w:val="22"/>
                <w:szCs w:val="22"/>
              </w:rPr>
              <w:t>Číslo oznámenia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Dátum zaevid.RO  </w:t>
            </w:r>
          </w:p>
        </w:tc>
        <w:tc>
          <w:tcPr>
            <w:tcW w:w="0" w:type="auto"/>
            <w:vAlign w:val="center"/>
          </w:tcPr>
          <w:p w:rsidR="001375FD" w:rsidRPr="009244E1" w:rsidRDefault="001375FD" w:rsidP="009244E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</w:t>
            </w:r>
            <w:r w:rsidRPr="009244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Finančná čiastka v </w:t>
            </w:r>
            <w:r w:rsidR="009244E1" w:rsidRPr="009244E1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Účel</w:t>
            </w:r>
          </w:p>
        </w:tc>
      </w:tr>
      <w:tr w:rsidR="001375FD" w:rsidRPr="001375FD" w:rsidTr="004F3E7F">
        <w:trPr>
          <w:trHeight w:val="569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75FD">
              <w:rPr>
                <w:rFonts w:ascii="Arial" w:hAnsi="Arial" w:cs="Arial"/>
                <w:b/>
                <w:bCs/>
                <w:sz w:val="22"/>
                <w:szCs w:val="22"/>
              </w:rPr>
              <w:t>Prostriedky zo ŠR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1 032 968,00 €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(zdroje 111 + 11 UA)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gridSpan w:val="2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0"/>
              </w:rPr>
              <w:t>Bežné výdavky spolu: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sz w:val="20"/>
                <w:szCs w:val="20"/>
              </w:rPr>
              <w:t xml:space="preserve">               1 032 968,00 €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gridSpan w:val="2"/>
            <w:shd w:val="clear" w:color="auto" w:fill="FFC000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0"/>
              </w:rPr>
              <w:t>Normatívne: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sz w:val="20"/>
                <w:szCs w:val="20"/>
              </w:rPr>
              <w:t xml:space="preserve">              1 000 296,00 €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1375FD" w:rsidRDefault="001375FD" w:rsidP="001375F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4E1" w:rsidRPr="001375FD" w:rsidRDefault="009244E1" w:rsidP="001375F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0"/>
              </w:rPr>
              <w:t>Rozpočet k 1.1.2023: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790 734,00 €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Bežné výdavky 600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21.01.2023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77 431,00 €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375FD">
              <w:rPr>
                <w:rFonts w:ascii="Arial" w:hAnsi="Arial" w:cs="Arial"/>
                <w:sz w:val="16"/>
                <w:szCs w:val="16"/>
              </w:rPr>
              <w:t>Úprava rozpočtu bežných výdavkov V-1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16.05.2023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17 000, 00 €                       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Úprava rozpočtu – kat. 630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14.06.2023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11 963,00 €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Úprava rozpočtu – kat. 600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18.08.2023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533,00 €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Úprava rozpočtu – V_12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04.12.2023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81 000,00 €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Úprava rozpočtu kat. 600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12.12.2023                               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21 635,00 €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Úprava rozpočtu kat. 600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bCs/>
                <w:sz w:val="20"/>
                <w:szCs w:val="20"/>
              </w:rPr>
              <w:t>Nenormatívne</w:t>
            </w:r>
            <w:r w:rsidR="009244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sz w:val="20"/>
                <w:szCs w:val="20"/>
              </w:rPr>
              <w:t xml:space="preserve">                    32 672,00 €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375FD" w:rsidRDefault="001375FD" w:rsidP="001375F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9244E1" w:rsidRPr="001375FD" w:rsidRDefault="009244E1" w:rsidP="001375F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30.01.2023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6 300,00 €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LK – lyžiarsky kurz                          L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07.02.2023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1 440,00 €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VP 1-12/2023                                  Z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07.02.2023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14 376,00 €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Pedagogický asistent                      A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12.04.2023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5 210,00 €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Odchodné                                       O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18.04.2023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  464,00 €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Špecifiká                                         S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01.06.2023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1 219,00 €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Učebnice                                         U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02.06.2023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464,00 €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Špecifiká                                         S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19.07.2023                                             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2 279,00 €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Učebnice                                         U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19.07.2023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  232,00 €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Špecifiká                                         S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18.08.2023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  232,00 €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Špecifiká                                         S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27.09.2023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  232,00 €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Špecifiká                                         S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25.10.2023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  232,00 €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Špecifiká                                         S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>27.10.2023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-2 279,00 €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Vratka – učebnice                           U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15.11.2023                                             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  -384,00 €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Vratka – VP                                     Z</w:t>
            </w:r>
          </w:p>
        </w:tc>
      </w:tr>
      <w:tr w:rsidR="001375FD" w:rsidRPr="001375FD" w:rsidTr="004F3E7F">
        <w:trPr>
          <w:trHeight w:val="247"/>
        </w:trPr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28.11.2023                                               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FD">
              <w:rPr>
                <w:rFonts w:ascii="Arial" w:hAnsi="Arial" w:cs="Arial"/>
                <w:sz w:val="18"/>
                <w:szCs w:val="18"/>
              </w:rPr>
              <w:t xml:space="preserve">                               2 655,00 €</w:t>
            </w:r>
          </w:p>
        </w:tc>
        <w:tc>
          <w:tcPr>
            <w:tcW w:w="0" w:type="auto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1375FD">
              <w:rPr>
                <w:rFonts w:ascii="Arial" w:hAnsi="Arial" w:cs="Arial"/>
                <w:sz w:val="17"/>
                <w:szCs w:val="17"/>
              </w:rPr>
              <w:t xml:space="preserve"> Odchodné                                       O</w:t>
            </w:r>
          </w:p>
        </w:tc>
      </w:tr>
      <w:tr w:rsidR="001375FD" w:rsidRPr="001375FD" w:rsidTr="009244E1">
        <w:trPr>
          <w:trHeight w:val="2253"/>
        </w:trPr>
        <w:tc>
          <w:tcPr>
            <w:tcW w:w="0" w:type="auto"/>
            <w:gridSpan w:val="4"/>
            <w:vAlign w:val="center"/>
          </w:tcPr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75FD">
              <w:rPr>
                <w:rFonts w:ascii="Arial" w:hAnsi="Arial" w:cs="Arial"/>
                <w:b/>
                <w:sz w:val="20"/>
                <w:szCs w:val="20"/>
                <w:u w:val="single"/>
              </w:rPr>
              <w:t>Presun KV do roku 2024:</w:t>
            </w:r>
            <w:r w:rsidRPr="001375FD">
              <w:rPr>
                <w:rFonts w:ascii="Arial" w:hAnsi="Arial" w:cs="Arial"/>
                <w:sz w:val="20"/>
                <w:szCs w:val="20"/>
                <w:u w:val="single"/>
              </w:rPr>
              <w:t xml:space="preserve">   7 288,00 €</w:t>
            </w:r>
          </w:p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b/>
                <w:sz w:val="20"/>
                <w:szCs w:val="20"/>
              </w:rPr>
              <w:t>z toho:</w:t>
            </w:r>
            <w:r w:rsidRPr="001375FD">
              <w:rPr>
                <w:rFonts w:ascii="Arial" w:hAnsi="Arial" w:cs="Arial"/>
                <w:sz w:val="20"/>
                <w:szCs w:val="20"/>
              </w:rPr>
              <w:t xml:space="preserve">                                  7 188,00 € (Zdroj: 131L, EKO 716)</w:t>
            </w:r>
          </w:p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100,00 € (Zdroj: 131L, EKO 714 001)</w:t>
            </w:r>
          </w:p>
          <w:p w:rsidR="001375FD" w:rsidRPr="001375FD" w:rsidRDefault="001375FD" w:rsidP="001375F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375FD" w:rsidRPr="001375FD" w:rsidRDefault="001375FD" w:rsidP="001375FD">
      <w:pPr>
        <w:ind w:left="360"/>
        <w:rPr>
          <w:rFonts w:cs="Calibri"/>
          <w:b/>
          <w:sz w:val="20"/>
          <w:szCs w:val="26"/>
        </w:rPr>
      </w:pPr>
    </w:p>
    <w:p w:rsidR="001375FD" w:rsidRDefault="001375FD" w:rsidP="0040070E">
      <w:pPr>
        <w:spacing w:after="480"/>
        <w:ind w:left="357"/>
        <w:rPr>
          <w:rFonts w:cs="Calibri"/>
          <w:b/>
          <w:sz w:val="20"/>
          <w:szCs w:val="26"/>
        </w:rPr>
      </w:pPr>
      <w:r w:rsidRPr="001375FD">
        <w:rPr>
          <w:rFonts w:cs="Calibri"/>
          <w:b/>
          <w:sz w:val="20"/>
          <w:szCs w:val="26"/>
        </w:rPr>
        <w:t>Prehľad o poskytnutých finančných prostriedkoch zo štátneho rozpočtu za kalendárny rok 2023</w:t>
      </w:r>
    </w:p>
    <w:p w:rsidR="001375FD" w:rsidRPr="001375FD" w:rsidRDefault="001375FD" w:rsidP="001375FD">
      <w:pPr>
        <w:ind w:left="360"/>
        <w:rPr>
          <w:rFonts w:cs="Calibri"/>
          <w:b/>
          <w:sz w:val="20"/>
          <w:szCs w:val="26"/>
        </w:rPr>
      </w:pPr>
    </w:p>
    <w:p w:rsidR="001375FD" w:rsidRPr="001375FD" w:rsidRDefault="001375FD" w:rsidP="001375FD">
      <w:pPr>
        <w:ind w:left="360"/>
        <w:rPr>
          <w:rFonts w:cs="Calibri"/>
          <w:b/>
          <w:sz w:val="20"/>
          <w:szCs w:val="26"/>
        </w:rPr>
      </w:pPr>
    </w:p>
    <w:p w:rsidR="001375FD" w:rsidRPr="001375FD" w:rsidRDefault="001375FD" w:rsidP="001375FD">
      <w:pPr>
        <w:ind w:left="360"/>
        <w:rPr>
          <w:rFonts w:cs="Calibri"/>
          <w:b/>
          <w:sz w:val="20"/>
          <w:szCs w:val="26"/>
        </w:rPr>
      </w:pPr>
    </w:p>
    <w:p w:rsidR="001375FD" w:rsidRPr="001375FD" w:rsidRDefault="001375FD" w:rsidP="001375FD">
      <w:pPr>
        <w:ind w:left="360"/>
        <w:rPr>
          <w:rFonts w:cs="Calibri"/>
          <w:b/>
          <w:sz w:val="20"/>
          <w:szCs w:val="26"/>
        </w:rPr>
      </w:pPr>
    </w:p>
    <w:p w:rsidR="009244E1" w:rsidRDefault="009244E1" w:rsidP="009244E1">
      <w:pPr>
        <w:jc w:val="both"/>
        <w:rPr>
          <w:rFonts w:cs="Calibri"/>
          <w:b/>
          <w:sz w:val="20"/>
          <w:szCs w:val="26"/>
        </w:rPr>
      </w:pPr>
    </w:p>
    <w:p w:rsidR="009244E1" w:rsidRDefault="009244E1">
      <w:pPr>
        <w:suppressAutoHyphens w:val="0"/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16ED8" w:rsidRPr="009244E1" w:rsidRDefault="00216ED8" w:rsidP="009244E1">
      <w:pPr>
        <w:jc w:val="both"/>
        <w:rPr>
          <w:color w:val="FF0000"/>
          <w:highlight w:val="yellow"/>
        </w:rPr>
      </w:pPr>
      <w:r w:rsidRPr="00216ED8">
        <w:rPr>
          <w:b/>
          <w:u w:val="single"/>
        </w:rPr>
        <w:lastRenderedPageBreak/>
        <w:t>Čerpanie výdavkov (zdroj 111)</w:t>
      </w:r>
    </w:p>
    <w:p w:rsidR="00216ED8" w:rsidRPr="00216ED8" w:rsidRDefault="00216ED8" w:rsidP="00216ED8">
      <w:pPr>
        <w:ind w:hanging="17"/>
        <w:jc w:val="both"/>
        <w:rPr>
          <w:b/>
          <w:u w:val="single"/>
        </w:rPr>
      </w:pPr>
    </w:p>
    <w:p w:rsidR="00216ED8" w:rsidRPr="0040070E" w:rsidRDefault="001375FD" w:rsidP="0040070E">
      <w:pPr>
        <w:spacing w:line="360" w:lineRule="auto"/>
        <w:ind w:hanging="17"/>
        <w:jc w:val="both"/>
        <w:rPr>
          <w:bCs/>
        </w:rPr>
      </w:pPr>
      <w:r w:rsidRPr="00216ED8">
        <w:t xml:space="preserve">Celkové výdavky na tarifné platy, príplatky a ostatné </w:t>
      </w:r>
      <w:r w:rsidRPr="00216ED8">
        <w:rPr>
          <w:b/>
        </w:rPr>
        <w:t>(610)</w:t>
      </w:r>
      <w:r w:rsidRPr="00216ED8">
        <w:t xml:space="preserve"> boli vyčerpané zo štátneho rozpočtu vo výške </w:t>
      </w:r>
      <w:r w:rsidR="009F5699" w:rsidRPr="00216ED8">
        <w:t xml:space="preserve"> </w:t>
      </w:r>
      <w:r w:rsidR="00216ED8" w:rsidRPr="00216ED8">
        <w:rPr>
          <w:b/>
        </w:rPr>
        <w:t>635 576 €</w:t>
      </w:r>
      <w:r w:rsidR="00216ED8" w:rsidRPr="00216ED8">
        <w:t xml:space="preserve">. </w:t>
      </w:r>
      <w:r w:rsidR="009F5699" w:rsidRPr="00216ED8">
        <w:t xml:space="preserve">Celkové poistné </w:t>
      </w:r>
      <w:r w:rsidR="009F5699" w:rsidRPr="00216ED8">
        <w:rPr>
          <w:b/>
        </w:rPr>
        <w:t xml:space="preserve">(620) </w:t>
      </w:r>
      <w:r w:rsidR="009F5699" w:rsidRPr="00216ED8">
        <w:t xml:space="preserve">bolo odvedené vo výške </w:t>
      </w:r>
      <w:r w:rsidR="00216ED8" w:rsidRPr="00216ED8">
        <w:rPr>
          <w:b/>
          <w:bCs/>
        </w:rPr>
        <w:t>221 533</w:t>
      </w:r>
      <w:r w:rsidR="009F5699" w:rsidRPr="00216ED8">
        <w:rPr>
          <w:b/>
          <w:bCs/>
        </w:rPr>
        <w:t xml:space="preserve"> €.</w:t>
      </w:r>
      <w:r w:rsidR="00216ED8">
        <w:rPr>
          <w:b/>
          <w:bCs/>
        </w:rPr>
        <w:t xml:space="preserve"> Výdavky spojené s úhradou za tovary a služby (630) </w:t>
      </w:r>
      <w:r w:rsidR="00216ED8" w:rsidRPr="00216ED8">
        <w:rPr>
          <w:bCs/>
        </w:rPr>
        <w:t>boli vo výške 155 677 €</w:t>
      </w:r>
      <w:r w:rsidR="0098537E">
        <w:rPr>
          <w:bCs/>
        </w:rPr>
        <w:t>, najväčšiu vyčerpanú položku tvorili energie a to vo výške: 72891 € (tepelná energia, voda, elektrická energia)</w:t>
      </w:r>
      <w:r w:rsidR="00216ED8" w:rsidRPr="00216ED8">
        <w:rPr>
          <w:bCs/>
        </w:rPr>
        <w:t>. Na špecifiká (</w:t>
      </w:r>
      <w:r w:rsidR="00216ED8" w:rsidRPr="00216ED8">
        <w:rPr>
          <w:b/>
          <w:bCs/>
        </w:rPr>
        <w:t>zdroj 11UA (630)</w:t>
      </w:r>
      <w:r w:rsidR="00216ED8" w:rsidRPr="00216ED8">
        <w:rPr>
          <w:bCs/>
        </w:rPr>
        <w:t xml:space="preserve"> bolo vyčerpaných celkovo 1856 €, z toho použité na učebné pomôcky 473 € a na energie 1383 €.</w:t>
      </w:r>
      <w:r w:rsidR="00AD07D0">
        <w:rPr>
          <w:bCs/>
        </w:rPr>
        <w:t xml:space="preserve"> Na bežné transfery </w:t>
      </w:r>
      <w:r w:rsidR="00AD07D0" w:rsidRPr="00AD07D0">
        <w:rPr>
          <w:b/>
          <w:bCs/>
        </w:rPr>
        <w:t>(640)</w:t>
      </w:r>
      <w:r w:rsidR="00AD07D0">
        <w:rPr>
          <w:bCs/>
        </w:rPr>
        <w:t xml:space="preserve"> bolo vynaložených celkovo </w:t>
      </w:r>
      <w:r w:rsidR="00AD07D0" w:rsidRPr="00AD07D0">
        <w:rPr>
          <w:b/>
          <w:bCs/>
        </w:rPr>
        <w:t>18 </w:t>
      </w:r>
      <w:r w:rsidR="00AD07D0">
        <w:rPr>
          <w:b/>
          <w:bCs/>
        </w:rPr>
        <w:t>326</w:t>
      </w:r>
      <w:r w:rsidR="00AD07D0" w:rsidRPr="00AD07D0">
        <w:rPr>
          <w:b/>
          <w:bCs/>
        </w:rPr>
        <w:t xml:space="preserve"> €</w:t>
      </w:r>
      <w:r w:rsidR="00AD07D0">
        <w:rPr>
          <w:bCs/>
        </w:rPr>
        <w:t xml:space="preserve"> ( na odchodné: 7865 € (3 pedagogickí zamestnanci),  odstupné: 7845 € (1 pedagogický zamestnanec), na nemocenské 2616 €.</w:t>
      </w:r>
    </w:p>
    <w:p w:rsidR="00CB62B1" w:rsidRDefault="00CB62B1" w:rsidP="0098537E">
      <w:pPr>
        <w:jc w:val="both"/>
        <w:rPr>
          <w:b/>
          <w:bCs/>
        </w:rPr>
      </w:pPr>
    </w:p>
    <w:p w:rsidR="00CB62B1" w:rsidRDefault="002B4446" w:rsidP="0098537E">
      <w:pPr>
        <w:jc w:val="both"/>
        <w:rPr>
          <w:b/>
          <w:bCs/>
        </w:rPr>
      </w:pPr>
      <w:r>
        <w:rPr>
          <w:b/>
          <w:bCs/>
        </w:rPr>
        <w:t>Graf č. 4</w:t>
      </w:r>
      <w:r w:rsidR="00CB62B1">
        <w:rPr>
          <w:b/>
          <w:bCs/>
        </w:rPr>
        <w:t xml:space="preserve"> – Grafické znázornenie čerpania FP (610, 620) – zdroj 111:</w:t>
      </w:r>
    </w:p>
    <w:p w:rsidR="00CB62B1" w:rsidRDefault="00CB62B1" w:rsidP="0098537E">
      <w:pPr>
        <w:jc w:val="both"/>
        <w:rPr>
          <w:b/>
          <w:bCs/>
        </w:rPr>
      </w:pPr>
    </w:p>
    <w:p w:rsidR="00CB62B1" w:rsidRDefault="00882810" w:rsidP="00882810">
      <w:pPr>
        <w:jc w:val="center"/>
        <w:rPr>
          <w:b/>
          <w:bCs/>
        </w:rPr>
      </w:pPr>
      <w:r>
        <w:rPr>
          <w:noProof/>
          <w:lang w:eastAsia="sk-SK"/>
        </w:rPr>
        <w:drawing>
          <wp:inline distT="0" distB="0" distL="0" distR="0" wp14:anchorId="6DA417F9" wp14:editId="562CFA97">
            <wp:extent cx="4099560" cy="2065020"/>
            <wp:effectExtent l="0" t="0" r="15240" b="1143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62B1" w:rsidRDefault="00CB62B1" w:rsidP="0098537E">
      <w:pPr>
        <w:jc w:val="both"/>
        <w:rPr>
          <w:b/>
          <w:bCs/>
        </w:rPr>
      </w:pPr>
    </w:p>
    <w:p w:rsidR="00CB62B1" w:rsidRDefault="00882810" w:rsidP="0098537E">
      <w:pPr>
        <w:jc w:val="both"/>
        <w:rPr>
          <w:b/>
          <w:bCs/>
        </w:rPr>
      </w:pPr>
      <w:r>
        <w:rPr>
          <w:b/>
          <w:bCs/>
        </w:rPr>
        <w:t>Tabuľka č. 1 – Prehľad čerpania 610,620</w:t>
      </w:r>
    </w:p>
    <w:p w:rsidR="00CB62B1" w:rsidRDefault="00CB62B1" w:rsidP="0098537E">
      <w:pPr>
        <w:jc w:val="both"/>
        <w:rPr>
          <w:b/>
          <w:bCs/>
        </w:rPr>
      </w:pPr>
    </w:p>
    <w:tbl>
      <w:tblPr>
        <w:tblpPr w:leftFromText="141" w:rightFromText="141" w:vertAnchor="text" w:horzAnchor="page" w:tblpX="1909" w:tblpY="13"/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552"/>
        <w:gridCol w:w="1393"/>
        <w:gridCol w:w="1393"/>
        <w:gridCol w:w="1554"/>
      </w:tblGrid>
      <w:tr w:rsidR="00882810" w:rsidRPr="00882810" w:rsidTr="00882810">
        <w:trPr>
          <w:trHeight w:val="322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Čerpanie výdavkov - Mzdy,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882810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platy, poistné</w:t>
            </w:r>
          </w:p>
        </w:tc>
      </w:tr>
      <w:tr w:rsidR="00882810" w:rsidRPr="00882810" w:rsidTr="00882810">
        <w:trPr>
          <w:trHeight w:val="32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82810" w:rsidRPr="00F46865" w:rsidRDefault="00F46865" w:rsidP="008828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  <w:r w:rsidRPr="00F46865"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828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Tarifný plat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Príplatky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Odmeny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Poistné</w:t>
            </w:r>
          </w:p>
        </w:tc>
      </w:tr>
      <w:tr w:rsidR="00882810" w:rsidRPr="00882810" w:rsidTr="00882810">
        <w:trPr>
          <w:trHeight w:val="32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535973,00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88229,00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11374,00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0" w:rsidRPr="00882810" w:rsidRDefault="00882810" w:rsidP="0088281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828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221533,00</w:t>
            </w:r>
          </w:p>
        </w:tc>
      </w:tr>
    </w:tbl>
    <w:p w:rsidR="00CB62B1" w:rsidRDefault="00CB62B1" w:rsidP="0098537E">
      <w:pPr>
        <w:jc w:val="both"/>
        <w:rPr>
          <w:b/>
          <w:bCs/>
        </w:rPr>
      </w:pPr>
    </w:p>
    <w:p w:rsidR="00CB62B1" w:rsidRDefault="00CB62B1" w:rsidP="0098537E">
      <w:pPr>
        <w:jc w:val="both"/>
        <w:rPr>
          <w:b/>
          <w:bCs/>
        </w:rPr>
      </w:pPr>
    </w:p>
    <w:p w:rsidR="00CB62B1" w:rsidRDefault="00CB62B1" w:rsidP="0098537E">
      <w:pPr>
        <w:jc w:val="both"/>
        <w:rPr>
          <w:b/>
          <w:bCs/>
        </w:rPr>
      </w:pPr>
    </w:p>
    <w:p w:rsidR="00CB62B1" w:rsidRDefault="00CB62B1" w:rsidP="0098537E">
      <w:pPr>
        <w:jc w:val="both"/>
        <w:rPr>
          <w:b/>
          <w:bCs/>
        </w:rPr>
      </w:pPr>
    </w:p>
    <w:p w:rsidR="00CB62B1" w:rsidRDefault="00CB62B1" w:rsidP="0098537E">
      <w:pPr>
        <w:jc w:val="both"/>
        <w:rPr>
          <w:b/>
          <w:bCs/>
        </w:rPr>
      </w:pPr>
    </w:p>
    <w:p w:rsidR="00216ED8" w:rsidRDefault="002B4446" w:rsidP="0098537E">
      <w:pPr>
        <w:jc w:val="both"/>
        <w:rPr>
          <w:b/>
          <w:bCs/>
        </w:rPr>
      </w:pPr>
      <w:r>
        <w:rPr>
          <w:b/>
          <w:bCs/>
        </w:rPr>
        <w:t>Graf č. 5</w:t>
      </w:r>
      <w:r w:rsidR="00CB62B1">
        <w:rPr>
          <w:b/>
          <w:bCs/>
        </w:rPr>
        <w:t xml:space="preserve"> - </w:t>
      </w:r>
      <w:r w:rsidR="0098537E">
        <w:rPr>
          <w:b/>
          <w:bCs/>
        </w:rPr>
        <w:t>Grafické znázornenie čerpania FP (630) – zdroj 111</w:t>
      </w:r>
      <w:r w:rsidR="00CB62B1">
        <w:rPr>
          <w:b/>
          <w:bCs/>
        </w:rPr>
        <w:t>+11UA</w:t>
      </w:r>
      <w:r w:rsidR="0098537E">
        <w:rPr>
          <w:b/>
          <w:bCs/>
        </w:rPr>
        <w:t>:</w:t>
      </w:r>
    </w:p>
    <w:p w:rsidR="0098537E" w:rsidRDefault="0098537E" w:rsidP="0040070E">
      <w:pPr>
        <w:jc w:val="both"/>
        <w:rPr>
          <w:b/>
          <w:bCs/>
        </w:rPr>
      </w:pPr>
    </w:p>
    <w:p w:rsidR="0098537E" w:rsidRDefault="00882810" w:rsidP="00882810">
      <w:pPr>
        <w:ind w:hanging="17"/>
        <w:jc w:val="center"/>
        <w:rPr>
          <w:b/>
          <w:bCs/>
        </w:rPr>
      </w:pPr>
      <w:r>
        <w:rPr>
          <w:noProof/>
          <w:lang w:eastAsia="sk-SK"/>
        </w:rPr>
        <w:drawing>
          <wp:inline distT="0" distB="0" distL="0" distR="0" wp14:anchorId="27E6CA92" wp14:editId="5BF607BF">
            <wp:extent cx="4305300" cy="2011680"/>
            <wp:effectExtent l="0" t="0" r="0" b="762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5F8" w:rsidRDefault="001815F8" w:rsidP="0040070E">
      <w:pPr>
        <w:jc w:val="both"/>
        <w:rPr>
          <w:bCs/>
          <w:i/>
          <w:sz w:val="16"/>
          <w:szCs w:val="16"/>
        </w:rPr>
      </w:pPr>
    </w:p>
    <w:p w:rsidR="001815F8" w:rsidRPr="001815F8" w:rsidRDefault="001815F8" w:rsidP="00446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16"/>
          <w:szCs w:val="16"/>
        </w:rPr>
      </w:pPr>
      <w:r w:rsidRPr="001815F8">
        <w:rPr>
          <w:bCs/>
          <w:i/>
          <w:sz w:val="16"/>
          <w:szCs w:val="16"/>
        </w:rPr>
        <w:t>Celkovo čerpanie</w:t>
      </w:r>
      <w:r>
        <w:rPr>
          <w:bCs/>
          <w:i/>
          <w:sz w:val="16"/>
          <w:szCs w:val="16"/>
        </w:rPr>
        <w:t xml:space="preserve"> podľa kateg.</w:t>
      </w:r>
      <w:r w:rsidRPr="001815F8">
        <w:rPr>
          <w:bCs/>
          <w:i/>
          <w:sz w:val="16"/>
          <w:szCs w:val="16"/>
        </w:rPr>
        <w:t>: mzdy a</w:t>
      </w:r>
      <w:r>
        <w:rPr>
          <w:bCs/>
          <w:i/>
          <w:sz w:val="16"/>
          <w:szCs w:val="16"/>
        </w:rPr>
        <w:t xml:space="preserve"> poistné </w:t>
      </w:r>
      <w:r w:rsidRPr="001815F8">
        <w:rPr>
          <w:bCs/>
          <w:i/>
          <w:sz w:val="16"/>
          <w:szCs w:val="16"/>
        </w:rPr>
        <w:t>vrátane bežných transferov (nemocenské, odchodné, odstupné) 85 %, tovary a služby 15%</w:t>
      </w:r>
      <w:r>
        <w:rPr>
          <w:bCs/>
          <w:i/>
          <w:sz w:val="16"/>
          <w:szCs w:val="16"/>
        </w:rPr>
        <w:t>.</w:t>
      </w:r>
    </w:p>
    <w:p w:rsidR="0098537E" w:rsidRDefault="00CB62B1" w:rsidP="0040070E">
      <w:pPr>
        <w:jc w:val="both"/>
        <w:rPr>
          <w:b/>
          <w:bCs/>
        </w:rPr>
      </w:pPr>
      <w:r>
        <w:rPr>
          <w:b/>
          <w:bCs/>
        </w:rPr>
        <w:lastRenderedPageBreak/>
        <w:t>Tabuľka č. 2 – Prehľad čerpania 630</w:t>
      </w:r>
    </w:p>
    <w:p w:rsidR="00CB62B1" w:rsidRDefault="00CB62B1" w:rsidP="00216ED8">
      <w:pPr>
        <w:ind w:hanging="17"/>
        <w:jc w:val="both"/>
        <w:rPr>
          <w:b/>
          <w:bCs/>
        </w:rPr>
      </w:pPr>
    </w:p>
    <w:tbl>
      <w:tblPr>
        <w:tblW w:w="6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76"/>
        <w:gridCol w:w="1056"/>
        <w:gridCol w:w="1127"/>
        <w:gridCol w:w="859"/>
        <w:gridCol w:w="1060"/>
      </w:tblGrid>
      <w:tr w:rsidR="00CB62B1" w:rsidRPr="00CB62B1" w:rsidTr="00CB62B1">
        <w:trPr>
          <w:trHeight w:val="299"/>
          <w:jc w:val="center"/>
        </w:trPr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Čerpanie výdavkov - tovary a služby (zdroj 111, 11 UA)</w:t>
            </w:r>
          </w:p>
        </w:tc>
      </w:tr>
      <w:tr w:rsidR="00CB62B1" w:rsidRPr="00CB62B1" w:rsidTr="00F46865">
        <w:trPr>
          <w:trHeight w:val="2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CB62B1" w:rsidRPr="00F46865" w:rsidRDefault="00F46865" w:rsidP="00CB62B1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  <w:r w:rsidRPr="00F46865"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Energie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Materiál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Dopravné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Údržba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Služby</w:t>
            </w:r>
          </w:p>
        </w:tc>
      </w:tr>
      <w:tr w:rsidR="00CB62B1" w:rsidRPr="00CB62B1" w:rsidTr="00F46865">
        <w:trPr>
          <w:trHeight w:val="2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74885,00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27424,00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755,00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B1" w:rsidRPr="00CB62B1" w:rsidRDefault="00CB62B1" w:rsidP="00CB62B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B62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54046,00</w:t>
            </w:r>
          </w:p>
        </w:tc>
      </w:tr>
    </w:tbl>
    <w:p w:rsidR="0098537E" w:rsidRDefault="0098537E" w:rsidP="00216ED8">
      <w:pPr>
        <w:ind w:hanging="17"/>
        <w:jc w:val="both"/>
        <w:rPr>
          <w:b/>
          <w:bCs/>
        </w:rPr>
      </w:pPr>
    </w:p>
    <w:p w:rsidR="009F5699" w:rsidRPr="009244E1" w:rsidRDefault="00882810" w:rsidP="009244E1">
      <w:pPr>
        <w:spacing w:line="360" w:lineRule="auto"/>
        <w:ind w:hanging="17"/>
        <w:jc w:val="both"/>
        <w:rPr>
          <w:bCs/>
        </w:rPr>
      </w:pPr>
      <w:r w:rsidRPr="00882810">
        <w:rPr>
          <w:bCs/>
        </w:rPr>
        <w:t>Organizácií boli pridelené prostriedky z minulých rokov (kapitálové) vo vý</w:t>
      </w:r>
      <w:r w:rsidR="004E0895">
        <w:rPr>
          <w:bCs/>
        </w:rPr>
        <w:t>ške 97 880 €, ktoré boli použité</w:t>
      </w:r>
      <w:r w:rsidRPr="00882810">
        <w:rPr>
          <w:bCs/>
        </w:rPr>
        <w:t xml:space="preserve"> na zakúpenie služobného motorového vozidla vo výške 25 900 € a na projektovú dokumentáciu vo výške 64 692 €</w:t>
      </w:r>
      <w:r w:rsidR="004E0895">
        <w:rPr>
          <w:bCs/>
        </w:rPr>
        <w:t xml:space="preserve"> v súlade s uzatvorenou zmluvou</w:t>
      </w:r>
      <w:r w:rsidRPr="00882810">
        <w:rPr>
          <w:bCs/>
        </w:rPr>
        <w:t>. Nevyčerpané prostriedky vo výške 7 288 € zostali na zdroji 131 L</w:t>
      </w:r>
      <w:r w:rsidR="004E0895">
        <w:rPr>
          <w:bCs/>
        </w:rPr>
        <w:t xml:space="preserve"> a boli presunuté do roku 2024</w:t>
      </w:r>
      <w:r w:rsidRPr="00882810">
        <w:rPr>
          <w:bCs/>
        </w:rPr>
        <w:t>.</w:t>
      </w:r>
    </w:p>
    <w:p w:rsidR="009F5699" w:rsidRPr="00352491" w:rsidRDefault="009F5699" w:rsidP="0040070E">
      <w:pPr>
        <w:spacing w:line="360" w:lineRule="auto"/>
        <w:jc w:val="both"/>
      </w:pPr>
      <w:r w:rsidRPr="00352491">
        <w:rPr>
          <w:b/>
          <w:bCs/>
          <w:u w:val="single"/>
        </w:rPr>
        <w:t>Náklady a výnosy, výsledok hospodárenia</w:t>
      </w:r>
    </w:p>
    <w:p w:rsidR="009F5699" w:rsidRPr="00352491" w:rsidRDefault="009F5699" w:rsidP="009F5699">
      <w:pPr>
        <w:pStyle w:val="Odsekzoznamu"/>
        <w:numPr>
          <w:ilvl w:val="0"/>
          <w:numId w:val="4"/>
        </w:numPr>
        <w:tabs>
          <w:tab w:val="left" w:pos="-60"/>
          <w:tab w:val="left" w:pos="284"/>
        </w:tabs>
        <w:spacing w:line="360" w:lineRule="auto"/>
        <w:ind w:left="0" w:firstLine="0"/>
        <w:jc w:val="both"/>
        <w:rPr>
          <w:b/>
          <w:bCs/>
        </w:rPr>
      </w:pPr>
      <w:r w:rsidRPr="00352491">
        <w:rPr>
          <w:b/>
          <w:bCs/>
        </w:rPr>
        <w:t>Rozbor výnosov organizácie</w:t>
      </w:r>
    </w:p>
    <w:p w:rsidR="009F5699" w:rsidRPr="00352491" w:rsidRDefault="009F5699" w:rsidP="009F5699">
      <w:pPr>
        <w:tabs>
          <w:tab w:val="left" w:pos="-60"/>
        </w:tabs>
        <w:spacing w:line="360" w:lineRule="auto"/>
        <w:jc w:val="both"/>
        <w:rPr>
          <w:b/>
          <w:bCs/>
        </w:rPr>
      </w:pPr>
      <w:r w:rsidRPr="00352491">
        <w:t>Výnosy z hlavnej činnosti SŠI boli</w:t>
      </w:r>
      <w:r w:rsidR="004E0895">
        <w:rPr>
          <w:b/>
          <w:bCs/>
        </w:rPr>
        <w:t xml:space="preserve"> vo výške 97 348,39</w:t>
      </w:r>
      <w:r w:rsidRPr="00352491">
        <w:rPr>
          <w:b/>
          <w:bCs/>
        </w:rPr>
        <w:t xml:space="preserve"> €, z toho:</w:t>
      </w:r>
    </w:p>
    <w:p w:rsidR="009F5699" w:rsidRPr="00352491" w:rsidRDefault="009F5699" w:rsidP="009F5699">
      <w:pPr>
        <w:pStyle w:val="Odsekzoznamu"/>
        <w:numPr>
          <w:ilvl w:val="0"/>
          <w:numId w:val="3"/>
        </w:numPr>
        <w:tabs>
          <w:tab w:val="left" w:pos="-60"/>
        </w:tabs>
        <w:spacing w:line="360" w:lineRule="auto"/>
        <w:jc w:val="both"/>
        <w:rPr>
          <w:b/>
          <w:bCs/>
        </w:rPr>
      </w:pPr>
      <w:r w:rsidRPr="00352491">
        <w:t>tržby</w:t>
      </w:r>
      <w:r w:rsidR="004E0895">
        <w:t xml:space="preserve"> za predaný  tovar v predajni  </w:t>
      </w:r>
      <w:r w:rsidR="004E0895" w:rsidRPr="004E0895">
        <w:rPr>
          <w:b/>
        </w:rPr>
        <w:t>35 895</w:t>
      </w:r>
      <w:r w:rsidRPr="00352491">
        <w:rPr>
          <w:b/>
          <w:bCs/>
        </w:rPr>
        <w:t xml:space="preserve"> €,</w:t>
      </w:r>
      <w:r w:rsidRPr="00352491">
        <w:t xml:space="preserve"> </w:t>
      </w:r>
    </w:p>
    <w:p w:rsidR="009F5699" w:rsidRPr="00352491" w:rsidRDefault="009F5699" w:rsidP="009F5699">
      <w:pPr>
        <w:pStyle w:val="Odsekzoznamu"/>
        <w:numPr>
          <w:ilvl w:val="0"/>
          <w:numId w:val="3"/>
        </w:numPr>
        <w:tabs>
          <w:tab w:val="left" w:pos="-60"/>
        </w:tabs>
        <w:spacing w:line="360" w:lineRule="auto"/>
        <w:jc w:val="both"/>
        <w:rPr>
          <w:b/>
          <w:bCs/>
        </w:rPr>
      </w:pPr>
      <w:r w:rsidRPr="00352491">
        <w:t>tržby za vlastné výrobky</w:t>
      </w:r>
      <w:r w:rsidR="004E0895">
        <w:rPr>
          <w:b/>
          <w:bCs/>
        </w:rPr>
        <w:t xml:space="preserve"> 27 652</w:t>
      </w:r>
      <w:r w:rsidRPr="00352491">
        <w:rPr>
          <w:b/>
          <w:bCs/>
        </w:rPr>
        <w:t xml:space="preserve"> €</w:t>
      </w:r>
      <w:r w:rsidRPr="00352491">
        <w:t xml:space="preserve">, </w:t>
      </w:r>
    </w:p>
    <w:p w:rsidR="00310E2B" w:rsidRDefault="009F5699" w:rsidP="00310E2B">
      <w:pPr>
        <w:pStyle w:val="Odsekzoznamu"/>
        <w:numPr>
          <w:ilvl w:val="0"/>
          <w:numId w:val="3"/>
        </w:numPr>
        <w:tabs>
          <w:tab w:val="left" w:pos="-60"/>
        </w:tabs>
        <w:spacing w:line="360" w:lineRule="auto"/>
        <w:ind w:left="1775" w:hanging="357"/>
        <w:jc w:val="both"/>
        <w:rPr>
          <w:b/>
          <w:bCs/>
        </w:rPr>
      </w:pPr>
      <w:r w:rsidRPr="00352491">
        <w:t>tržby za služby</w:t>
      </w:r>
      <w:r w:rsidR="004E0895">
        <w:rPr>
          <w:b/>
          <w:bCs/>
        </w:rPr>
        <w:t xml:space="preserve">  33 801</w:t>
      </w:r>
      <w:r w:rsidRPr="00352491">
        <w:rPr>
          <w:b/>
          <w:bCs/>
        </w:rPr>
        <w:t xml:space="preserve"> €. </w:t>
      </w:r>
    </w:p>
    <w:p w:rsidR="009F5699" w:rsidRPr="009244E1" w:rsidRDefault="009F5699" w:rsidP="00310E2B">
      <w:pPr>
        <w:tabs>
          <w:tab w:val="left" w:pos="-60"/>
        </w:tabs>
        <w:spacing w:line="360" w:lineRule="auto"/>
        <w:jc w:val="both"/>
        <w:rPr>
          <w:b/>
          <w:bCs/>
        </w:rPr>
      </w:pPr>
      <w:r w:rsidRPr="00352491">
        <w:t xml:space="preserve">Ostatné výnosy predstavovali sumu </w:t>
      </w:r>
      <w:r w:rsidR="004E0895" w:rsidRPr="00310E2B">
        <w:rPr>
          <w:b/>
        </w:rPr>
        <w:t xml:space="preserve">4 306 </w:t>
      </w:r>
      <w:r w:rsidRPr="00310E2B">
        <w:rPr>
          <w:b/>
          <w:bCs/>
        </w:rPr>
        <w:t xml:space="preserve"> €. </w:t>
      </w:r>
      <w:r w:rsidRPr="00352491">
        <w:rPr>
          <w:bCs/>
        </w:rPr>
        <w:t xml:space="preserve">Výnosy z transferov a rozpočtových príjmov </w:t>
      </w:r>
      <w:r w:rsidR="004E0895">
        <w:rPr>
          <w:b/>
          <w:bCs/>
        </w:rPr>
        <w:t>1 051 308</w:t>
      </w:r>
      <w:r w:rsidRPr="00352491">
        <w:rPr>
          <w:b/>
          <w:bCs/>
        </w:rPr>
        <w:t xml:space="preserve"> €.</w:t>
      </w:r>
    </w:p>
    <w:p w:rsidR="009F5699" w:rsidRPr="00EE2E8F" w:rsidRDefault="009F5699" w:rsidP="009F5699">
      <w:pPr>
        <w:pStyle w:val="Odsekzoznamu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/>
          <w:bCs/>
        </w:rPr>
      </w:pPr>
      <w:r w:rsidRPr="00EE2E8F">
        <w:rPr>
          <w:b/>
          <w:bCs/>
        </w:rPr>
        <w:t>Rozbor nákladov organizácie</w:t>
      </w:r>
    </w:p>
    <w:p w:rsidR="009F5699" w:rsidRPr="00EE2E8F" w:rsidRDefault="009F5699" w:rsidP="009F5699">
      <w:pPr>
        <w:spacing w:line="360" w:lineRule="auto"/>
        <w:jc w:val="both"/>
        <w:rPr>
          <w:bCs/>
        </w:rPr>
      </w:pPr>
      <w:r w:rsidRPr="00EE2E8F">
        <w:rPr>
          <w:color w:val="000000"/>
        </w:rPr>
        <w:t xml:space="preserve">Celkové náklady SŠI za spotrebu energií boli vo </w:t>
      </w:r>
      <w:r w:rsidRPr="00EE2E8F">
        <w:t xml:space="preserve">výške </w:t>
      </w:r>
      <w:r w:rsidR="004E0895">
        <w:rPr>
          <w:b/>
          <w:bCs/>
        </w:rPr>
        <w:t>90 629</w:t>
      </w:r>
      <w:r w:rsidRPr="00EE2E8F">
        <w:rPr>
          <w:b/>
          <w:bCs/>
        </w:rPr>
        <w:t xml:space="preserve"> €.</w:t>
      </w:r>
      <w:r w:rsidRPr="00EE2E8F">
        <w:rPr>
          <w:color w:val="FF0000"/>
        </w:rPr>
        <w:t xml:space="preserve"> </w:t>
      </w:r>
      <w:r w:rsidRPr="00EE2E8F">
        <w:t xml:space="preserve">Spotreba materiálu bola vo výške </w:t>
      </w:r>
      <w:r w:rsidR="004E0895">
        <w:rPr>
          <w:b/>
          <w:bCs/>
        </w:rPr>
        <w:t>36 517</w:t>
      </w:r>
      <w:r w:rsidRPr="00EE2E8F">
        <w:rPr>
          <w:b/>
          <w:bCs/>
        </w:rPr>
        <w:t xml:space="preserve"> €</w:t>
      </w:r>
      <w:r w:rsidRPr="00EE2E8F">
        <w:t>. Náklady  na  predaný  tovar boli</w:t>
      </w:r>
      <w:r w:rsidR="004E0895">
        <w:rPr>
          <w:b/>
          <w:bCs/>
        </w:rPr>
        <w:t xml:space="preserve"> 28 858</w:t>
      </w:r>
      <w:r w:rsidRPr="00EE2E8F">
        <w:rPr>
          <w:b/>
          <w:bCs/>
          <w:caps/>
        </w:rPr>
        <w:t xml:space="preserve"> </w:t>
      </w:r>
      <w:r w:rsidRPr="00EE2E8F">
        <w:rPr>
          <w:b/>
          <w:bCs/>
        </w:rPr>
        <w:t xml:space="preserve">€.  </w:t>
      </w:r>
      <w:r w:rsidRPr="00EE2E8F">
        <w:t xml:space="preserve">Náklady na služby boli </w:t>
      </w:r>
      <w:r w:rsidR="004E0895">
        <w:rPr>
          <w:b/>
        </w:rPr>
        <w:t>44 386</w:t>
      </w:r>
      <w:r w:rsidRPr="00EE2E8F">
        <w:rPr>
          <w:b/>
          <w:bCs/>
        </w:rPr>
        <w:t xml:space="preserve"> €, </w:t>
      </w:r>
      <w:r w:rsidRPr="00EE2E8F">
        <w:t xml:space="preserve"> z toho: náklady na opravy a údržbu boli vo výške </w:t>
      </w:r>
      <w:r w:rsidR="004E0895">
        <w:rPr>
          <w:b/>
          <w:bCs/>
        </w:rPr>
        <w:t>825</w:t>
      </w:r>
      <w:r w:rsidRPr="00EE2E8F">
        <w:rPr>
          <w:b/>
          <w:bCs/>
        </w:rPr>
        <w:t xml:space="preserve"> €, </w:t>
      </w:r>
      <w:r w:rsidRPr="00EE2E8F">
        <w:t xml:space="preserve"> náklady na cestovné </w:t>
      </w:r>
      <w:r w:rsidR="004E0895">
        <w:rPr>
          <w:b/>
        </w:rPr>
        <w:t>930</w:t>
      </w:r>
      <w:r w:rsidRPr="00EE2E8F">
        <w:rPr>
          <w:b/>
        </w:rPr>
        <w:t xml:space="preserve"> €</w:t>
      </w:r>
      <w:r w:rsidRPr="00EE2E8F">
        <w:t xml:space="preserve"> a ostatné služby boli </w:t>
      </w:r>
      <w:r w:rsidR="004E0895">
        <w:rPr>
          <w:b/>
          <w:bCs/>
        </w:rPr>
        <w:t>42 631</w:t>
      </w:r>
      <w:r w:rsidRPr="00EE2E8F">
        <w:rPr>
          <w:b/>
          <w:bCs/>
        </w:rPr>
        <w:t xml:space="preserve"> €. </w:t>
      </w:r>
      <w:r w:rsidRPr="00EE2E8F">
        <w:rPr>
          <w:bCs/>
        </w:rPr>
        <w:t>Osobné náklady v</w:t>
      </w:r>
      <w:r w:rsidR="004E0895">
        <w:rPr>
          <w:bCs/>
        </w:rPr>
        <w:t xml:space="preserve">o výške </w:t>
      </w:r>
      <w:r w:rsidR="004E0895" w:rsidRPr="00EC1FA8">
        <w:rPr>
          <w:b/>
          <w:bCs/>
        </w:rPr>
        <w:t>911 738</w:t>
      </w:r>
      <w:r w:rsidRPr="00EE2E8F">
        <w:rPr>
          <w:b/>
          <w:bCs/>
        </w:rPr>
        <w:t xml:space="preserve"> €.</w:t>
      </w:r>
      <w:r w:rsidRPr="00EE2E8F">
        <w:rPr>
          <w:bCs/>
        </w:rPr>
        <w:t xml:space="preserve"> </w:t>
      </w:r>
      <w:r w:rsidRPr="00EE2E8F">
        <w:t>Dane a poplatky boli</w:t>
      </w:r>
      <w:r w:rsidR="004E0895">
        <w:rPr>
          <w:b/>
          <w:bCs/>
        </w:rPr>
        <w:t xml:space="preserve"> 3</w:t>
      </w:r>
      <w:r w:rsidR="00EC1FA8">
        <w:rPr>
          <w:b/>
          <w:bCs/>
        </w:rPr>
        <w:t xml:space="preserve"> </w:t>
      </w:r>
      <w:r w:rsidR="004E0895">
        <w:rPr>
          <w:b/>
          <w:bCs/>
        </w:rPr>
        <w:t>272</w:t>
      </w:r>
      <w:r w:rsidRPr="00EE2E8F">
        <w:rPr>
          <w:b/>
          <w:bCs/>
        </w:rPr>
        <w:t xml:space="preserve"> €</w:t>
      </w:r>
      <w:r w:rsidRPr="00EE2E8F">
        <w:t xml:space="preserve">, finančné náklady (bankové poplatky) boli </w:t>
      </w:r>
      <w:r w:rsidR="00EC1FA8">
        <w:rPr>
          <w:b/>
        </w:rPr>
        <w:t>52</w:t>
      </w:r>
      <w:r w:rsidRPr="00EE2E8F">
        <w:rPr>
          <w:b/>
          <w:bCs/>
        </w:rPr>
        <w:t xml:space="preserve"> €. </w:t>
      </w:r>
      <w:r w:rsidRPr="00EE2E8F">
        <w:t>Ostatné náklady na prevádzkovú činnosť boli vo výške</w:t>
      </w:r>
      <w:r w:rsidR="00EC1FA8">
        <w:rPr>
          <w:b/>
          <w:bCs/>
        </w:rPr>
        <w:t xml:space="preserve"> 3854</w:t>
      </w:r>
      <w:r w:rsidRPr="00EE2E8F">
        <w:rPr>
          <w:b/>
          <w:bCs/>
        </w:rPr>
        <w:t xml:space="preserve"> €.</w:t>
      </w:r>
      <w:r w:rsidRPr="00EE2E8F">
        <w:t xml:space="preserve"> </w:t>
      </w:r>
      <w:r w:rsidRPr="00EE2E8F">
        <w:rPr>
          <w:i/>
          <w:iCs/>
        </w:rPr>
        <w:t>Zá</w:t>
      </w:r>
      <w:r w:rsidR="00EC1FA8">
        <w:rPr>
          <w:i/>
          <w:iCs/>
        </w:rPr>
        <w:t>konné rezervy neboli v roku 2023</w:t>
      </w:r>
      <w:r w:rsidRPr="00EE2E8F">
        <w:rPr>
          <w:i/>
          <w:iCs/>
        </w:rPr>
        <w:t xml:space="preserve"> vytvorené</w:t>
      </w:r>
      <w:r w:rsidRPr="00EE2E8F">
        <w:rPr>
          <w:b/>
          <w:bCs/>
        </w:rPr>
        <w:t xml:space="preserve">. </w:t>
      </w:r>
      <w:r w:rsidRPr="00EE2E8F">
        <w:rPr>
          <w:i/>
          <w:iCs/>
        </w:rPr>
        <w:t xml:space="preserve">Odpisy majetku za rok </w:t>
      </w:r>
      <w:r w:rsidR="00EC1FA8">
        <w:rPr>
          <w:b/>
          <w:i/>
          <w:iCs/>
        </w:rPr>
        <w:t>2023</w:t>
      </w:r>
      <w:r w:rsidRPr="00EE2E8F">
        <w:rPr>
          <w:b/>
          <w:i/>
          <w:iCs/>
        </w:rPr>
        <w:t xml:space="preserve"> </w:t>
      </w:r>
      <w:r w:rsidRPr="00EE2E8F">
        <w:rPr>
          <w:i/>
          <w:iCs/>
        </w:rPr>
        <w:t xml:space="preserve"> predstavujú čiastku </w:t>
      </w:r>
      <w:r w:rsidR="00EC1FA8">
        <w:rPr>
          <w:b/>
          <w:i/>
          <w:iCs/>
        </w:rPr>
        <w:t>17 768</w:t>
      </w:r>
      <w:r w:rsidRPr="00EE2E8F">
        <w:rPr>
          <w:b/>
          <w:i/>
          <w:iCs/>
        </w:rPr>
        <w:t xml:space="preserve"> €.</w:t>
      </w:r>
    </w:p>
    <w:p w:rsidR="009F5699" w:rsidRPr="00EE2E8F" w:rsidRDefault="009F5699" w:rsidP="009F5699">
      <w:pPr>
        <w:ind w:hanging="315"/>
        <w:jc w:val="both"/>
        <w:rPr>
          <w:color w:val="FF0000"/>
        </w:rPr>
      </w:pPr>
    </w:p>
    <w:p w:rsidR="009F5699" w:rsidRPr="00EE2E8F" w:rsidRDefault="009244E1" w:rsidP="009244E1">
      <w:pPr>
        <w:jc w:val="both"/>
        <w:rPr>
          <w:b/>
          <w:bCs/>
          <w:color w:val="000000"/>
        </w:rPr>
      </w:pPr>
      <w:r>
        <w:rPr>
          <w:color w:val="000000"/>
        </w:rPr>
        <w:t>C</w:t>
      </w:r>
      <w:r w:rsidR="00EC1FA8">
        <w:rPr>
          <w:color w:val="000000"/>
        </w:rPr>
        <w:t>elkové výnosy za rok 2023</w:t>
      </w:r>
      <w:r w:rsidR="009F5699" w:rsidRPr="00EE2E8F">
        <w:rPr>
          <w:color w:val="000000"/>
        </w:rPr>
        <w:t>:</w:t>
      </w:r>
      <w:r w:rsidR="00EC1FA8">
        <w:rPr>
          <w:b/>
          <w:bCs/>
          <w:color w:val="000000"/>
        </w:rPr>
        <w:t xml:space="preserve">  1 152 963</w:t>
      </w:r>
      <w:r w:rsidR="009F5699" w:rsidRPr="00EE2E8F">
        <w:rPr>
          <w:b/>
          <w:bCs/>
          <w:color w:val="000000"/>
        </w:rPr>
        <w:t xml:space="preserve"> €</w:t>
      </w:r>
      <w:r>
        <w:rPr>
          <w:b/>
          <w:bCs/>
          <w:color w:val="000000"/>
        </w:rPr>
        <w:t xml:space="preserve">            </w:t>
      </w:r>
      <w:r>
        <w:rPr>
          <w:color w:val="000000"/>
        </w:rPr>
        <w:t>C</w:t>
      </w:r>
      <w:r w:rsidR="00EC1FA8">
        <w:rPr>
          <w:color w:val="000000"/>
        </w:rPr>
        <w:t>elkové náklady za rok 2023</w:t>
      </w:r>
      <w:r w:rsidR="009F5699" w:rsidRPr="00EE2E8F">
        <w:rPr>
          <w:color w:val="000000"/>
        </w:rPr>
        <w:t>:</w:t>
      </w:r>
      <w:r w:rsidR="00EC1FA8">
        <w:rPr>
          <w:b/>
          <w:bCs/>
          <w:color w:val="000000"/>
        </w:rPr>
        <w:t xml:space="preserve"> 1 137 073</w:t>
      </w:r>
      <w:r w:rsidR="009F5699" w:rsidRPr="00EE2E8F">
        <w:rPr>
          <w:b/>
          <w:bCs/>
          <w:color w:val="000000"/>
        </w:rPr>
        <w:t xml:space="preserve"> €</w:t>
      </w:r>
    </w:p>
    <w:p w:rsidR="009F5699" w:rsidRPr="00EE2E8F" w:rsidRDefault="009F5699" w:rsidP="009F5699">
      <w:pPr>
        <w:ind w:hanging="315"/>
        <w:jc w:val="both"/>
        <w:rPr>
          <w:color w:val="FF0000"/>
        </w:rPr>
      </w:pPr>
      <w:r w:rsidRPr="00EE2E8F">
        <w:rPr>
          <w:b/>
          <w:bCs/>
          <w:color w:val="FF0000"/>
        </w:rPr>
        <w:t xml:space="preserve"> </w:t>
      </w:r>
      <w:r w:rsidRPr="00EE2E8F">
        <w:rPr>
          <w:color w:val="FF0000"/>
        </w:rPr>
        <w:t xml:space="preserve"> </w:t>
      </w:r>
    </w:p>
    <w:p w:rsidR="009F5699" w:rsidRPr="00EE2E8F" w:rsidRDefault="009F5699" w:rsidP="009F5699">
      <w:pPr>
        <w:jc w:val="both"/>
        <w:rPr>
          <w:b/>
          <w:bCs/>
          <w:color w:val="000000"/>
          <w:u w:val="single"/>
        </w:rPr>
      </w:pPr>
      <w:r w:rsidRPr="00EE2E8F">
        <w:rPr>
          <w:b/>
          <w:bCs/>
          <w:color w:val="000000"/>
          <w:u w:val="single"/>
        </w:rPr>
        <w:t>V</w:t>
      </w:r>
      <w:r>
        <w:rPr>
          <w:b/>
          <w:bCs/>
          <w:color w:val="000000"/>
          <w:u w:val="single"/>
        </w:rPr>
        <w:t>ýsledkom</w:t>
      </w:r>
      <w:r w:rsidRPr="00EE2E8F">
        <w:rPr>
          <w:b/>
          <w:bCs/>
          <w:color w:val="000000"/>
          <w:u w:val="single"/>
        </w:rPr>
        <w:t xml:space="preserve"> hospodáre</w:t>
      </w:r>
      <w:r w:rsidR="00EC1FA8">
        <w:rPr>
          <w:b/>
          <w:bCs/>
          <w:color w:val="000000"/>
          <w:u w:val="single"/>
        </w:rPr>
        <w:t>nia po</w:t>
      </w:r>
      <w:r w:rsidR="000C5753">
        <w:rPr>
          <w:b/>
          <w:bCs/>
          <w:color w:val="000000"/>
          <w:u w:val="single"/>
        </w:rPr>
        <w:t xml:space="preserve"> zdanení bol v roku 2023 zisk</w:t>
      </w:r>
      <w:r w:rsidR="00EC1FA8">
        <w:rPr>
          <w:b/>
          <w:bCs/>
          <w:color w:val="000000"/>
          <w:u w:val="single"/>
        </w:rPr>
        <w:t xml:space="preserve"> vo výške 15 602</w:t>
      </w:r>
      <w:r w:rsidRPr="00EE2E8F">
        <w:rPr>
          <w:b/>
          <w:bCs/>
          <w:color w:val="000000"/>
          <w:u w:val="single"/>
        </w:rPr>
        <w:t xml:space="preserve"> €. </w:t>
      </w:r>
    </w:p>
    <w:p w:rsidR="009F5699" w:rsidRPr="00EE2E8F" w:rsidRDefault="009F5699" w:rsidP="009F5699">
      <w:pPr>
        <w:jc w:val="both"/>
      </w:pPr>
    </w:p>
    <w:p w:rsidR="009F5699" w:rsidRPr="000C5753" w:rsidRDefault="00EC1FA8" w:rsidP="00FE3E13">
      <w:pPr>
        <w:jc w:val="both"/>
        <w:rPr>
          <w:i/>
          <w:color w:val="000000"/>
        </w:rPr>
      </w:pPr>
      <w:r w:rsidRPr="000C5753">
        <w:rPr>
          <w:i/>
        </w:rPr>
        <w:t xml:space="preserve">K 31.12.2023 dosiahla </w:t>
      </w:r>
      <w:r w:rsidR="000C5753">
        <w:rPr>
          <w:i/>
        </w:rPr>
        <w:t xml:space="preserve">príspevková </w:t>
      </w:r>
      <w:r w:rsidRPr="000C5753">
        <w:rPr>
          <w:i/>
        </w:rPr>
        <w:t xml:space="preserve">organizácia zisk vo výške 15 602 </w:t>
      </w:r>
      <w:r w:rsidR="00212839">
        <w:rPr>
          <w:i/>
        </w:rPr>
        <w:t>€. Organizácií sa podarilo</w:t>
      </w:r>
      <w:r w:rsidR="00B861DA" w:rsidRPr="000C5753">
        <w:rPr>
          <w:i/>
        </w:rPr>
        <w:t xml:space="preserve"> zabezpečiť </w:t>
      </w:r>
      <w:r w:rsidR="00212839">
        <w:rPr>
          <w:i/>
        </w:rPr>
        <w:t xml:space="preserve">si </w:t>
      </w:r>
      <w:r w:rsidR="00B861DA" w:rsidRPr="000C5753">
        <w:rPr>
          <w:i/>
        </w:rPr>
        <w:t>zisk aj n</w:t>
      </w:r>
      <w:r w:rsidR="000C5753">
        <w:rPr>
          <w:i/>
        </w:rPr>
        <w:t>apriek nepriaznivej ekonomickej</w:t>
      </w:r>
      <w:r w:rsidR="00B861DA" w:rsidRPr="000C5753">
        <w:rPr>
          <w:i/>
        </w:rPr>
        <w:t xml:space="preserve"> situácií vďaka hospodárnym a efektívnym opatreniam</w:t>
      </w:r>
      <w:r w:rsidR="009244E1" w:rsidRPr="000C5753">
        <w:rPr>
          <w:i/>
        </w:rPr>
        <w:t xml:space="preserve"> v poslednom štvrťroku 2023</w:t>
      </w:r>
      <w:r w:rsidR="00434738" w:rsidRPr="000C5753">
        <w:rPr>
          <w:i/>
        </w:rPr>
        <w:t>,</w:t>
      </w:r>
      <w:r w:rsidR="00B861DA" w:rsidRPr="000C5753">
        <w:rPr>
          <w:i/>
        </w:rPr>
        <w:t xml:space="preserve"> napr. odpredajom neupotrebiteľného majetku štátu, </w:t>
      </w:r>
      <w:r w:rsidR="00664072" w:rsidRPr="000C5753">
        <w:rPr>
          <w:i/>
        </w:rPr>
        <w:t>primeraným zvýšením poplatku za ubytovacie služby v školsko</w:t>
      </w:r>
      <w:r w:rsidR="000C5753">
        <w:rPr>
          <w:i/>
        </w:rPr>
        <w:t>m internáte v priebehu roku 2023. V závere uvádzame</w:t>
      </w:r>
      <w:r w:rsidR="00A933EC">
        <w:rPr>
          <w:i/>
        </w:rPr>
        <w:t>, že bez dofinancovania</w:t>
      </w:r>
      <w:r w:rsidR="00310E2B">
        <w:rPr>
          <w:i/>
        </w:rPr>
        <w:t xml:space="preserve"> zriaďovateľa</w:t>
      </w:r>
      <w:r w:rsidR="00A933EC">
        <w:rPr>
          <w:i/>
        </w:rPr>
        <w:t xml:space="preserve"> </w:t>
      </w:r>
      <w:r w:rsidR="00310E2B">
        <w:rPr>
          <w:i/>
        </w:rPr>
        <w:t>(</w:t>
      </w:r>
      <w:r w:rsidR="00A933EC">
        <w:rPr>
          <w:i/>
        </w:rPr>
        <w:t>RUŠS v</w:t>
      </w:r>
      <w:r w:rsidR="00310E2B">
        <w:rPr>
          <w:i/>
        </w:rPr>
        <w:t> </w:t>
      </w:r>
      <w:r w:rsidR="00A933EC">
        <w:rPr>
          <w:i/>
        </w:rPr>
        <w:t>Žiline</w:t>
      </w:r>
      <w:r w:rsidR="00310E2B">
        <w:rPr>
          <w:i/>
        </w:rPr>
        <w:t>)</w:t>
      </w:r>
      <w:r w:rsidR="00A933EC">
        <w:rPr>
          <w:i/>
        </w:rPr>
        <w:t xml:space="preserve"> by nebolo možné po</w:t>
      </w:r>
      <w:r w:rsidR="00310E2B">
        <w:rPr>
          <w:i/>
        </w:rPr>
        <w:t>kryť zvýšené náklady na energie vlastnou činnosťou, ktoré so sebou prinieslo enormné zvýšenie cien energií v roku 2023.</w:t>
      </w:r>
    </w:p>
    <w:p w:rsidR="00FE3E13" w:rsidRDefault="009F5699" w:rsidP="009F5699">
      <w:pPr>
        <w:ind w:hanging="315"/>
        <w:jc w:val="both"/>
        <w:rPr>
          <w:color w:val="000000"/>
        </w:rPr>
      </w:pPr>
      <w:r w:rsidRPr="00352491">
        <w:rPr>
          <w:color w:val="000000"/>
        </w:rPr>
        <w:t xml:space="preserve"> </w:t>
      </w:r>
      <w:r w:rsidRPr="00352491">
        <w:rPr>
          <w:color w:val="000000"/>
        </w:rPr>
        <w:tab/>
      </w:r>
    </w:p>
    <w:p w:rsidR="009F5699" w:rsidRPr="00352491" w:rsidRDefault="009F5699" w:rsidP="00664072">
      <w:pPr>
        <w:jc w:val="both"/>
        <w:rPr>
          <w:b/>
          <w:color w:val="000000"/>
          <w:sz w:val="16"/>
          <w:szCs w:val="16"/>
        </w:rPr>
      </w:pPr>
      <w:r w:rsidRPr="00352491">
        <w:rPr>
          <w:b/>
          <w:color w:val="000000"/>
          <w:sz w:val="16"/>
          <w:szCs w:val="16"/>
        </w:rPr>
        <w:t>(Zdroj: Výkaz ziskov a strát Úč  ROPO SFOV 2-01)</w:t>
      </w:r>
    </w:p>
    <w:p w:rsidR="009F5699" w:rsidRPr="00310E2B" w:rsidRDefault="009F5699" w:rsidP="00310E2B">
      <w:pPr>
        <w:spacing w:after="120"/>
        <w:jc w:val="both"/>
        <w:rPr>
          <w:color w:val="000000"/>
          <w:sz w:val="18"/>
          <w:szCs w:val="18"/>
        </w:rPr>
      </w:pPr>
      <w:r w:rsidRPr="00310E2B">
        <w:rPr>
          <w:color w:val="000000"/>
          <w:sz w:val="18"/>
          <w:szCs w:val="18"/>
        </w:rPr>
        <w:t>Spracovala: Ing. Lieskovanová, za ek.</w:t>
      </w:r>
      <w:r w:rsidR="009244E1" w:rsidRPr="00310E2B">
        <w:rPr>
          <w:color w:val="000000"/>
          <w:sz w:val="18"/>
          <w:szCs w:val="18"/>
        </w:rPr>
        <w:t xml:space="preserve"> </w:t>
      </w:r>
      <w:r w:rsidRPr="00310E2B">
        <w:rPr>
          <w:color w:val="000000"/>
          <w:sz w:val="18"/>
          <w:szCs w:val="18"/>
        </w:rPr>
        <w:t>úsek</w:t>
      </w:r>
    </w:p>
    <w:p w:rsidR="00C20671" w:rsidRDefault="009F5699" w:rsidP="00310E2B">
      <w:pPr>
        <w:ind w:left="4248" w:firstLine="708"/>
      </w:pPr>
      <w:r w:rsidRPr="00AB7621">
        <w:rPr>
          <w:i/>
          <w:color w:val="000000"/>
          <w:sz w:val="20"/>
          <w:szCs w:val="20"/>
        </w:rPr>
        <w:t>Schválila: Ing. Mária Valjašková, riaditeľka</w:t>
      </w:r>
    </w:p>
    <w:sectPr w:rsidR="00C20671" w:rsidSect="009244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1F4A24C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673C45"/>
    <w:multiLevelType w:val="hybridMultilevel"/>
    <w:tmpl w:val="F3D4A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67DAE"/>
    <w:multiLevelType w:val="hybridMultilevel"/>
    <w:tmpl w:val="17FECEE4"/>
    <w:lvl w:ilvl="0" w:tplc="38FEB69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EA1"/>
    <w:multiLevelType w:val="hybridMultilevel"/>
    <w:tmpl w:val="E0A49626"/>
    <w:lvl w:ilvl="0" w:tplc="6D4C7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50F7"/>
    <w:multiLevelType w:val="hybridMultilevel"/>
    <w:tmpl w:val="B440AF60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5B69B2"/>
    <w:multiLevelType w:val="hybridMultilevel"/>
    <w:tmpl w:val="441E8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703B"/>
    <w:multiLevelType w:val="hybridMultilevel"/>
    <w:tmpl w:val="68867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9"/>
    <w:rsid w:val="000322A5"/>
    <w:rsid w:val="000C5753"/>
    <w:rsid w:val="00114699"/>
    <w:rsid w:val="001375FD"/>
    <w:rsid w:val="001815F8"/>
    <w:rsid w:val="00195509"/>
    <w:rsid w:val="00212839"/>
    <w:rsid w:val="00216ED8"/>
    <w:rsid w:val="002A2753"/>
    <w:rsid w:val="002B4446"/>
    <w:rsid w:val="00310E2B"/>
    <w:rsid w:val="0040070E"/>
    <w:rsid w:val="00434738"/>
    <w:rsid w:val="00446C26"/>
    <w:rsid w:val="0045074E"/>
    <w:rsid w:val="004A6EBF"/>
    <w:rsid w:val="004E0895"/>
    <w:rsid w:val="00664072"/>
    <w:rsid w:val="006C0297"/>
    <w:rsid w:val="00730654"/>
    <w:rsid w:val="00835D85"/>
    <w:rsid w:val="00882810"/>
    <w:rsid w:val="008C09E6"/>
    <w:rsid w:val="009244E1"/>
    <w:rsid w:val="0098537E"/>
    <w:rsid w:val="009B62A2"/>
    <w:rsid w:val="009B6496"/>
    <w:rsid w:val="009F5699"/>
    <w:rsid w:val="00A6377E"/>
    <w:rsid w:val="00A71CE5"/>
    <w:rsid w:val="00A933EC"/>
    <w:rsid w:val="00AB1A60"/>
    <w:rsid w:val="00AD07D0"/>
    <w:rsid w:val="00AD40F6"/>
    <w:rsid w:val="00B861DA"/>
    <w:rsid w:val="00C03E5C"/>
    <w:rsid w:val="00CB62B1"/>
    <w:rsid w:val="00CD7FC3"/>
    <w:rsid w:val="00D01E48"/>
    <w:rsid w:val="00E532A0"/>
    <w:rsid w:val="00EC1FA8"/>
    <w:rsid w:val="00F46865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C9F9-3EE9-463C-92F9-BC3A0D83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6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0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E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800"/>
              <a:t>Prehľad počtu žiakov podľa organizačných zložiek školy</a:t>
            </a:r>
            <a:endParaRPr lang="en-US" sz="8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'Hárok1 (4)'!$B$4</c:f>
              <c:strCache>
                <c:ptCount val="1"/>
                <c:pt idx="0">
                  <c:v>Počet žiakov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22A-47FB-A171-1D3B21F8904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22A-47FB-A171-1D3B21F8904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22A-47FB-A171-1D3B21F8904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22A-47FB-A171-1D3B21F8904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22A-47FB-A171-1D3B21F8904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22A-47FB-A171-1D3B21F890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'Hárok1 (4)'!$C$3:$E$3</c:f>
              <c:strCache>
                <c:ptCount val="3"/>
                <c:pt idx="0">
                  <c:v>OU</c:v>
                </c:pt>
                <c:pt idx="1">
                  <c:v>PŠ</c:v>
                </c:pt>
                <c:pt idx="2">
                  <c:v>SOŠ</c:v>
                </c:pt>
              </c:strCache>
            </c:strRef>
          </c:cat>
          <c:val>
            <c:numRef>
              <c:f>'Hárok1 (4)'!$C$4:$E$4</c:f>
              <c:numCache>
                <c:formatCode>General</c:formatCode>
                <c:ptCount val="3"/>
                <c:pt idx="0">
                  <c:v>67</c:v>
                </c:pt>
                <c:pt idx="1">
                  <c:v>24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2A-47FB-A171-1D3B21F8904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879105165617737E-2"/>
          <c:y val="0.15208230428760983"/>
          <c:w val="0.83268229166666674"/>
          <c:h val="0.79837164750957856"/>
        </c:manualLayout>
      </c:layout>
      <c:pie3DChart>
        <c:varyColors val="1"/>
        <c:ser>
          <c:idx val="0"/>
          <c:order val="0"/>
          <c:tx>
            <c:strRef>
              <c:f>'Hárok1 (5)'!$B$4</c:f>
              <c:strCache>
                <c:ptCount val="1"/>
                <c:pt idx="0">
                  <c:v>Pedagogickí zamestnanci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87E-47A8-9C13-C1990250AAF1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87E-47A8-9C13-C1990250AAF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87E-47A8-9C13-C1990250AAF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87E-47A8-9C13-C1990250AAF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87E-47A8-9C13-C1990250AAF1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D6D72ED-265A-4579-A572-23380B7C6ADA}" type="CATEGORYNAME">
                      <a:rPr lang="en-US" sz="90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[NÁZOV KATEGÓRIE]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</a:t>
                    </a:r>
                    <a:fld id="{9F7D47FB-6C72-45B4-BADA-A55BEE814463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87E-47A8-9C13-C1990250AAF1}"/>
                </c:ext>
              </c:extLst>
            </c:dLbl>
            <c:dLbl>
              <c:idx val="1"/>
              <c:layout>
                <c:manualLayout>
                  <c:x val="-0.11947431302270012"/>
                  <c:y val="-5.53505535055350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229606-89B5-4785-B3CD-47F04E4A46E6}" type="CATEGORYNAME">
                      <a:rPr lang="en-US" sz="90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[NÁZOV KATEGÓRIE]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</a:t>
                    </a:r>
                    <a:fld id="{5C7BDBF4-898A-443E-ACCA-359720C262E6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87E-47A8-9C13-C1990250AAF1}"/>
                </c:ext>
              </c:extLst>
            </c:dLbl>
            <c:dLbl>
              <c:idx val="2"/>
              <c:layout>
                <c:manualLayout>
                  <c:x val="-6.2724014336917572E-2"/>
                  <c:y val="0.135301353013530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DF9CF56-65C6-4119-B7B3-A0B5DAC62B55}" type="CATEGORYNAME">
                      <a:rPr lang="en-US" sz="90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[NÁZOV KATEGÓRIE]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</a:t>
                    </a:r>
                    <a:fld id="{E6C45352-C92F-48A8-8A5C-16D40C2ED634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87E-47A8-9C13-C1990250AAF1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BC2CA6C-191A-437D-819D-71BC11862E07}" type="CATEGORYNAME">
                      <a:rPr lang="en-US" sz="90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[NÁZOV KATEGÓRIE]</a:t>
                    </a:fld>
                    <a:r>
                      <a:rPr lang="en-US" sz="900" baseline="0">
                        <a:solidFill>
                          <a:schemeClr val="tx1"/>
                        </a:solidFill>
                      </a:rPr>
                      <a:t>
</a:t>
                    </a:r>
                    <a:fld id="{A1F2D711-7CBF-44D8-9625-0C5FA8FD05B0}" type="PERCENTAGE">
                      <a:rPr lang="en-US" sz="9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[PERCENTO]</a:t>
                    </a:fld>
                    <a:endParaRPr lang="en-US" sz="9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87E-47A8-9C13-C1990250AAF1}"/>
                </c:ext>
              </c:extLst>
            </c:dLbl>
            <c:dLbl>
              <c:idx val="4"/>
              <c:layout>
                <c:manualLayout>
                  <c:x val="0.1254481462666629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936C93D-57F4-4511-98A8-3A45FC420FA5}" type="CATEGORYNAME">
                      <a:rPr lang="en-US" sz="90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[NÁZOV KATEGÓRIE]</a:t>
                    </a:fld>
                    <a:r>
                      <a:rPr lang="en-US" sz="900" baseline="0">
                        <a:solidFill>
                          <a:schemeClr val="tx1"/>
                        </a:solidFill>
                      </a:rPr>
                      <a:t>
</a:t>
                    </a:r>
                    <a:fld id="{23DEF1EC-48BC-4C51-A964-FE2A2D0B4039}" type="PERCENTAGE">
                      <a:rPr lang="en-US" sz="9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[PERCENTO]</a:t>
                    </a:fld>
                    <a:endParaRPr lang="en-US" sz="9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379928315412177E-2"/>
                      <c:h val="0.174723247232472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87E-47A8-9C13-C1990250AA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'Hárok1 (5)'!$C$3:$G$4</c:f>
              <c:multiLvlStrCache>
                <c:ptCount val="5"/>
                <c:lvl>
                  <c:pt idx="0">
                    <c:v>8,2</c:v>
                  </c:pt>
                  <c:pt idx="1">
                    <c:v>16</c:v>
                  </c:pt>
                  <c:pt idx="2">
                    <c:v>1</c:v>
                  </c:pt>
                  <c:pt idx="3">
                    <c:v>2</c:v>
                  </c:pt>
                  <c:pt idx="4">
                    <c:v>1</c:v>
                  </c:pt>
                </c:lvl>
                <c:lvl>
                  <c:pt idx="0">
                    <c:v>Učitelia</c:v>
                  </c:pt>
                  <c:pt idx="1">
                    <c:v>Majstri odbornej výchovy</c:v>
                  </c:pt>
                  <c:pt idx="2">
                    <c:v>Vychovávatelia</c:v>
                  </c:pt>
                  <c:pt idx="3">
                    <c:v>Vedúci PZ</c:v>
                  </c:pt>
                  <c:pt idx="4">
                    <c:v>AU</c:v>
                  </c:pt>
                </c:lvl>
              </c:multiLvlStrCache>
            </c:multiLvlStrRef>
          </c:cat>
          <c:val>
            <c:numRef>
              <c:f>'Hárok1 (5)'!$C$4:$G$4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16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7E-47A8-9C13-C1990250AAF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endParaRPr lang="sk-S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'Hárok1 (6)'!$B$4</c:f>
              <c:strCache>
                <c:ptCount val="1"/>
                <c:pt idx="0">
                  <c:v>Nepedagogickí zamestnanci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5D9-455D-BE36-4ACA6F68147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5D9-455D-BE36-4ACA6F68147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5D9-455D-BE36-4ACA6F6814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1" i="1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'Hárok1 (6)'!$C$3:$F$4</c:f>
              <c:multiLvlStrCache>
                <c:ptCount val="4"/>
                <c:lvl>
                  <c:pt idx="0">
                    <c:v>3,1</c:v>
                  </c:pt>
                  <c:pt idx="1">
                    <c:v>2</c:v>
                  </c:pt>
                  <c:pt idx="2">
                    <c:v>1</c:v>
                  </c:pt>
                  <c:pt idx="3">
                    <c:v>1</c:v>
                  </c:pt>
                </c:lvl>
                <c:lvl>
                  <c:pt idx="0">
                    <c:v>THP</c:v>
                  </c:pt>
                  <c:pt idx="1">
                    <c:v>Pomocní vychovávatelia</c:v>
                  </c:pt>
                  <c:pt idx="2">
                    <c:v>Predavačka</c:v>
                  </c:pt>
                  <c:pt idx="3">
                    <c:v>Údržbár</c:v>
                  </c:pt>
                </c:lvl>
              </c:multiLvlStrCache>
            </c:multiLvlStrRef>
          </c:cat>
          <c:val>
            <c:numRef>
              <c:f>'Hárok1 (6)'!$C$4:$F$4</c:f>
              <c:numCache>
                <c:formatCode>General</c:formatCode>
                <c:ptCount val="4"/>
                <c:pt idx="0">
                  <c:v>3.1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9-455D-BE36-4ACA6F681471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</c:dLbls>
        <c:gapWidth val="199"/>
        <c:axId val="468417136"/>
        <c:axId val="468419432"/>
      </c:barChart>
      <c:catAx>
        <c:axId val="46841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68419432"/>
        <c:crosses val="autoZero"/>
        <c:auto val="1"/>
        <c:lblAlgn val="ctr"/>
        <c:lblOffset val="100"/>
        <c:noMultiLvlLbl val="0"/>
      </c:catAx>
      <c:valAx>
        <c:axId val="4684194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6841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</c:legendEntry>
      <c:layout>
        <c:manualLayout>
          <c:xMode val="edge"/>
          <c:yMode val="edge"/>
          <c:x val="0.30678648663635355"/>
          <c:y val="0.10208357817213146"/>
          <c:w val="0.39229557132823184"/>
          <c:h val="0.104944764367140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9F-4619-95AE-B437183ECD3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9F-4619-95AE-B437183ECD3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9F-4619-95AE-B437183ECD3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9F-4619-95AE-B437183ECD3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A9F-4619-95AE-B437183ECD32}"/>
              </c:ext>
            </c:extLst>
          </c:dPt>
          <c:dLbls>
            <c:dLbl>
              <c:idx val="3"/>
              <c:layout>
                <c:manualLayout>
                  <c:x val="0"/>
                  <c:y val="-8.6666666666666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A9F-4619-95AE-B437183ECD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'Hárok1 (7)'!$C$3:$G$3</c:f>
              <c:strCache>
                <c:ptCount val="5"/>
                <c:pt idx="0">
                  <c:v>31 - 40 rokov</c:v>
                </c:pt>
                <c:pt idx="1">
                  <c:v>41 - 50 rokov</c:v>
                </c:pt>
                <c:pt idx="2">
                  <c:v>51 - 55 rokov</c:v>
                </c:pt>
                <c:pt idx="3">
                  <c:v>56- 60 rokov</c:v>
                </c:pt>
                <c:pt idx="4">
                  <c:v>nad 61 rokov</c:v>
                </c:pt>
              </c:strCache>
            </c:strRef>
          </c:cat>
          <c:val>
            <c:numRef>
              <c:f>'Hárok1 (7)'!$C$4:$G$4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9F-4619-95AE-B437183ECD3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effectLst>
                <a:outerShdw blurRad="50800" dist="50800" dir="5400000" algn="ctr" rotWithShape="0">
                  <a:schemeClr val="bg1"/>
                </a:outerShdw>
              </a:effectLst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'Hárok2 (2)'!$B$4</c:f>
              <c:strCache>
                <c:ptCount val="1"/>
                <c:pt idx="0">
                  <c:v>Rok 2023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AB3-452D-A106-ACBAE0DFEC2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AB3-452D-A106-ACBAE0DFEC2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AB3-452D-A106-ACBAE0DFEC2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AB3-452D-A106-ACBAE0DFEC2D}"/>
              </c:ext>
            </c:extLst>
          </c:dPt>
          <c:dLbls>
            <c:dLbl>
              <c:idx val="2"/>
              <c:layout>
                <c:manualLayout>
                  <c:x val="-9.433962264150943E-3"/>
                  <c:y val="-0.129629629629629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AB3-452D-A106-ACBAE0DFEC2D}"/>
                </c:ext>
              </c:extLst>
            </c:dLbl>
            <c:dLbl>
              <c:idx val="3"/>
              <c:layout>
                <c:manualLayout>
                  <c:x val="-4.6468401486988817E-2"/>
                  <c:y val="-3.69003690036900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AB3-452D-A106-ACBAE0DFEC2D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'Hárok2 (2)'!$C$2:$F$3</c:f>
              <c:strCache>
                <c:ptCount val="4"/>
                <c:pt idx="0">
                  <c:v>Tarifný plat</c:v>
                </c:pt>
                <c:pt idx="1">
                  <c:v>Príplatky</c:v>
                </c:pt>
                <c:pt idx="2">
                  <c:v>Odmeny</c:v>
                </c:pt>
                <c:pt idx="3">
                  <c:v>Poistné</c:v>
                </c:pt>
              </c:strCache>
            </c:strRef>
          </c:cat>
          <c:val>
            <c:numRef>
              <c:f>'Hárok2 (2)'!$C$4:$F$4</c:f>
              <c:numCache>
                <c:formatCode>0.00</c:formatCode>
                <c:ptCount val="4"/>
                <c:pt idx="0">
                  <c:v>535973</c:v>
                </c:pt>
                <c:pt idx="1">
                  <c:v>88229</c:v>
                </c:pt>
                <c:pt idx="2">
                  <c:v>11374</c:v>
                </c:pt>
                <c:pt idx="3">
                  <c:v>221533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B3-452D-A106-ACBAE0DFEC2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85000"/>
              <a:lumOff val="15000"/>
            </a:schemeClr>
          </a:solidFill>
        </a:defRPr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Hárok2!$B$4</c:f>
              <c:strCache>
                <c:ptCount val="1"/>
                <c:pt idx="0">
                  <c:v>Rok 2023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F32-4CD7-AB9B-E4DF5AD7489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F32-4CD7-AB9B-E4DF5AD7489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F32-4CD7-AB9B-E4DF5AD7489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F32-4CD7-AB9B-E4DF5AD7489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BF32-4CD7-AB9B-E4DF5AD7489B}"/>
              </c:ext>
            </c:extLst>
          </c:dPt>
          <c:dLbls>
            <c:dLbl>
              <c:idx val="1"/>
              <c:layout>
                <c:manualLayout>
                  <c:x val="7.4999999999999997E-2"/>
                  <c:y val="-1.6975112544026657E-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F32-4CD7-AB9B-E4DF5AD7489B}"/>
                </c:ext>
              </c:extLst>
            </c:dLbl>
            <c:dLbl>
              <c:idx val="2"/>
              <c:layout>
                <c:manualLayout>
                  <c:x val="-6.1111111111111109E-2"/>
                  <c:y val="-0.143518518518518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F32-4CD7-AB9B-E4DF5AD7489B}"/>
                </c:ext>
              </c:extLst>
            </c:dLbl>
            <c:dLbl>
              <c:idx val="3"/>
              <c:layout/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F32-4CD7-AB9B-E4DF5AD74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Hárok2!$C$2:$G$3</c:f>
              <c:strCache>
                <c:ptCount val="5"/>
                <c:pt idx="0">
                  <c:v>Energie</c:v>
                </c:pt>
                <c:pt idx="1">
                  <c:v>Materiál</c:v>
                </c:pt>
                <c:pt idx="2">
                  <c:v>Dopravné</c:v>
                </c:pt>
                <c:pt idx="3">
                  <c:v>Údržba</c:v>
                </c:pt>
                <c:pt idx="4">
                  <c:v>Služby</c:v>
                </c:pt>
              </c:strCache>
            </c:strRef>
          </c:cat>
          <c:val>
            <c:numRef>
              <c:f>Hárok2!$C$4:$G$4</c:f>
              <c:numCache>
                <c:formatCode>0.00</c:formatCode>
                <c:ptCount val="5"/>
                <c:pt idx="0">
                  <c:v>74885</c:v>
                </c:pt>
                <c:pt idx="1">
                  <c:v>27424</c:v>
                </c:pt>
                <c:pt idx="2">
                  <c:v>755</c:v>
                </c:pt>
                <c:pt idx="3">
                  <c:v>422</c:v>
                </c:pt>
                <c:pt idx="4">
                  <c:v>54046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F32-4CD7-AB9B-E4DF5AD7489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outerShdw blurRad="50800" dist="50800" dir="5400000" algn="ctr" rotWithShape="0">
            <a:schemeClr val="bg1"/>
          </a:outerShdw>
        </a:effectLst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ssi.ekonomicke</dc:creator>
  <cp:keywords/>
  <dc:description/>
  <cp:lastModifiedBy>ssi.ekonomicke</cp:lastModifiedBy>
  <cp:revision>36</cp:revision>
  <cp:lastPrinted>2024-04-05T09:52:00Z</cp:lastPrinted>
  <dcterms:created xsi:type="dcterms:W3CDTF">2024-03-11T12:28:00Z</dcterms:created>
  <dcterms:modified xsi:type="dcterms:W3CDTF">2024-04-05T10:10:00Z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